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80A0C" w14:textId="77777777" w:rsidR="00DD29A1" w:rsidRDefault="006C2CF1">
      <w:pPr>
        <w:jc w:val="right"/>
        <w:rPr>
          <w:b/>
          <w:sz w:val="28"/>
          <w:szCs w:val="28"/>
        </w:rPr>
      </w:pPr>
      <w:r>
        <w:rPr>
          <w:b/>
          <w:sz w:val="28"/>
          <w:szCs w:val="28"/>
        </w:rPr>
        <w:t>ISO #####-</w:t>
      </w:r>
      <w:proofErr w:type="gramStart"/>
      <w:r>
        <w:rPr>
          <w:b/>
          <w:sz w:val="28"/>
          <w:szCs w:val="28"/>
        </w:rPr>
        <w:t>#:#</w:t>
      </w:r>
      <w:proofErr w:type="gramEnd"/>
      <w:r>
        <w:rPr>
          <w:b/>
          <w:sz w:val="28"/>
          <w:szCs w:val="28"/>
        </w:rPr>
        <w:t>###(X)</w:t>
      </w:r>
    </w:p>
    <w:p w14:paraId="3BE65383" w14:textId="77777777" w:rsidR="00DD29A1" w:rsidRDefault="006C2CF1">
      <w:pPr>
        <w:jc w:val="right"/>
      </w:pPr>
      <w:r>
        <w:t>ISO TC </w:t>
      </w:r>
      <w:r>
        <w:rPr>
          <w:rFonts w:hint="eastAsia"/>
          <w:lang w:val="en-US" w:eastAsia="zh-CN"/>
        </w:rPr>
        <w:t>91</w:t>
      </w:r>
      <w:r>
        <w:t>/SC ##/WG #</w:t>
      </w:r>
    </w:p>
    <w:p w14:paraId="0E1EAAD3" w14:textId="77777777" w:rsidR="00DD29A1" w:rsidRDefault="006C2CF1">
      <w:pPr>
        <w:spacing w:after="2000"/>
        <w:jc w:val="right"/>
      </w:pPr>
      <w:r>
        <w:t>Date: YYYY-MM-DD</w:t>
      </w:r>
    </w:p>
    <w:p w14:paraId="498C1926" w14:textId="77777777" w:rsidR="00DD29A1" w:rsidRDefault="006C2CF1">
      <w:pPr>
        <w:spacing w:before="310" w:after="310" w:line="310" w:lineRule="exact"/>
        <w:rPr>
          <w:rFonts w:cs="Cambria"/>
          <w:b/>
          <w:bCs/>
          <w:sz w:val="32"/>
          <w:szCs w:val="32"/>
          <w:lang w:val="en-US" w:eastAsia="zh-CN"/>
        </w:rPr>
      </w:pPr>
      <w:r>
        <w:rPr>
          <w:rFonts w:cs="Cambria" w:hint="eastAsia"/>
          <w:b/>
          <w:bCs/>
          <w:sz w:val="32"/>
          <w:szCs w:val="32"/>
          <w:lang w:val="en-US" w:eastAsia="zh-CN"/>
        </w:rPr>
        <w:t>表面活性剂</w:t>
      </w:r>
      <w:r>
        <w:rPr>
          <w:rFonts w:cs="Cambria" w:hint="eastAsia"/>
          <w:b/>
          <w:bCs/>
          <w:sz w:val="32"/>
          <w:szCs w:val="32"/>
          <w:lang w:val="en-US" w:eastAsia="zh-CN"/>
        </w:rPr>
        <w:t xml:space="preserve">  </w:t>
      </w:r>
      <w:r>
        <w:rPr>
          <w:rFonts w:cs="Cambria" w:hint="eastAsia"/>
          <w:b/>
          <w:bCs/>
          <w:sz w:val="32"/>
          <w:szCs w:val="32"/>
          <w:lang w:val="en-US" w:eastAsia="zh-CN"/>
        </w:rPr>
        <w:t>脂肪烷基三甲基氯化铵平均相对分子质量的测定</w:t>
      </w:r>
      <w:r>
        <w:rPr>
          <w:rFonts w:cs="Cambria" w:hint="eastAsia"/>
          <w:b/>
          <w:bCs/>
          <w:sz w:val="32"/>
          <w:szCs w:val="32"/>
          <w:lang w:val="en-US" w:eastAsia="zh-CN"/>
        </w:rPr>
        <w:t xml:space="preserve"> </w:t>
      </w:r>
    </w:p>
    <w:p w14:paraId="1EAD9EFF" w14:textId="77777777" w:rsidR="00DD29A1" w:rsidRDefault="006C2CF1">
      <w:pPr>
        <w:spacing w:before="310" w:after="310" w:line="310" w:lineRule="exact"/>
        <w:rPr>
          <w:rFonts w:cs="Cambria"/>
          <w:b/>
          <w:bCs/>
          <w:sz w:val="32"/>
          <w:szCs w:val="32"/>
          <w:lang w:val="en-US" w:eastAsia="zh-CN"/>
        </w:rPr>
      </w:pPr>
      <w:r>
        <w:rPr>
          <w:rFonts w:cs="Cambria" w:hint="eastAsia"/>
          <w:b/>
          <w:bCs/>
          <w:sz w:val="32"/>
          <w:szCs w:val="32"/>
          <w:lang w:val="en-US" w:eastAsia="zh-CN"/>
        </w:rPr>
        <w:t>第</w:t>
      </w:r>
      <w:r>
        <w:rPr>
          <w:rFonts w:cs="Cambria" w:hint="eastAsia"/>
          <w:b/>
          <w:bCs/>
          <w:sz w:val="32"/>
          <w:szCs w:val="32"/>
          <w:lang w:val="en-US" w:eastAsia="zh-CN"/>
        </w:rPr>
        <w:t>1</w:t>
      </w:r>
      <w:r>
        <w:rPr>
          <w:rFonts w:cs="Cambria" w:hint="eastAsia"/>
          <w:b/>
          <w:bCs/>
          <w:sz w:val="32"/>
          <w:szCs w:val="32"/>
          <w:lang w:val="en-US" w:eastAsia="zh-CN"/>
        </w:rPr>
        <w:t>部分：</w:t>
      </w:r>
    </w:p>
    <w:p w14:paraId="05B96E76" w14:textId="77777777" w:rsidR="00DD29A1" w:rsidRDefault="006C2CF1">
      <w:pPr>
        <w:spacing w:line="360" w:lineRule="atLeast"/>
        <w:jc w:val="left"/>
        <w:rPr>
          <w:b/>
          <w:sz w:val="32"/>
          <w:szCs w:val="32"/>
        </w:rPr>
      </w:pPr>
      <w:r>
        <w:rPr>
          <w:rFonts w:cs="Cambria" w:hint="eastAsia"/>
          <w:b/>
          <w:bCs/>
          <w:sz w:val="32"/>
          <w:szCs w:val="32"/>
          <w:lang w:val="en-US" w:eastAsia="zh-CN"/>
        </w:rPr>
        <w:t>气相色谱法</w:t>
      </w:r>
    </w:p>
    <w:p w14:paraId="35CF65D5" w14:textId="77777777" w:rsidR="00DD29A1" w:rsidRDefault="00DD29A1">
      <w:pPr>
        <w:spacing w:before="2000"/>
      </w:pPr>
    </w:p>
    <w:p w14:paraId="7082625C" w14:textId="77777777" w:rsidR="00DD29A1" w:rsidRDefault="006C2CF1">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WD stage</w:t>
      </w:r>
    </w:p>
    <w:p w14:paraId="55045649" w14:textId="77777777" w:rsidR="00DD29A1" w:rsidRDefault="00DD29A1"/>
    <w:p w14:paraId="226F19E5" w14:textId="77777777" w:rsidR="00DD29A1" w:rsidRDefault="006C2CF1">
      <w:pPr>
        <w:pBdr>
          <w:top w:val="single" w:sz="4" w:space="1" w:color="auto"/>
          <w:left w:val="single" w:sz="4" w:space="4" w:color="auto"/>
          <w:bottom w:val="single" w:sz="4" w:space="1" w:color="auto"/>
          <w:right w:val="single" w:sz="4" w:space="4" w:color="auto"/>
        </w:pBdr>
        <w:ind w:left="85" w:right="85"/>
        <w:jc w:val="center"/>
        <w:rPr>
          <w:b/>
          <w:sz w:val="20"/>
        </w:rPr>
      </w:pPr>
      <w:r>
        <w:rPr>
          <w:b/>
          <w:sz w:val="20"/>
        </w:rPr>
        <w:t>Warning for WDs and CDs</w:t>
      </w:r>
    </w:p>
    <w:p w14:paraId="1B4124D6" w14:textId="77777777" w:rsidR="00DD29A1" w:rsidRDefault="006C2CF1">
      <w:pPr>
        <w:pBdr>
          <w:top w:val="single" w:sz="4" w:space="1" w:color="auto"/>
          <w:left w:val="single" w:sz="4" w:space="4" w:color="auto"/>
          <w:bottom w:val="single" w:sz="4" w:space="1" w:color="auto"/>
          <w:right w:val="single" w:sz="4" w:space="4" w:color="auto"/>
        </w:pBdr>
        <w:ind w:left="85" w:right="85"/>
        <w:rPr>
          <w:bCs/>
          <w:sz w:val="20"/>
        </w:rPr>
      </w:pPr>
      <w:r>
        <w:rPr>
          <w:bCs/>
          <w:sz w:val="20"/>
        </w:rPr>
        <w:t xml:space="preserve">This document is not an ISO International Standard. It is distributed for review and comment. It is subject to </w:t>
      </w:r>
      <w:r>
        <w:rPr>
          <w:bCs/>
          <w:sz w:val="20"/>
        </w:rPr>
        <w:t>change without notice and may not be referred to as an International Standard.</w:t>
      </w:r>
    </w:p>
    <w:p w14:paraId="2D2ED386" w14:textId="77777777" w:rsidR="00DD29A1" w:rsidRDefault="006C2CF1">
      <w:pPr>
        <w:pBdr>
          <w:top w:val="single" w:sz="4" w:space="1" w:color="auto"/>
          <w:left w:val="single" w:sz="4" w:space="4" w:color="auto"/>
          <w:bottom w:val="single" w:sz="4" w:space="1" w:color="auto"/>
          <w:right w:val="single" w:sz="4" w:space="4" w:color="auto"/>
        </w:pBdr>
        <w:ind w:left="85" w:right="85"/>
        <w:rPr>
          <w:sz w:val="20"/>
        </w:rPr>
      </w:pPr>
      <w:r>
        <w:rPr>
          <w:bCs/>
          <w:sz w:val="20"/>
        </w:rPr>
        <w:t>Recipients of this draft are invited to submit, with their comments, notification of any relevant patent rights of which they are aware and to provide supporting documentation.</w:t>
      </w:r>
    </w:p>
    <w:p w14:paraId="787594D7" w14:textId="77777777" w:rsidR="00DD29A1" w:rsidRDefault="00DD29A1">
      <w:pPr>
        <w:pStyle w:val="aa"/>
      </w:pPr>
    </w:p>
    <w:p w14:paraId="51DC0227" w14:textId="77777777" w:rsidR="00DD29A1" w:rsidRDefault="00DD29A1">
      <w:pPr>
        <w:pStyle w:val="aa"/>
      </w:pPr>
    </w:p>
    <w:p w14:paraId="004B6A5D" w14:textId="77777777" w:rsidR="00DD29A1" w:rsidRDefault="006C2CF1">
      <w:pPr>
        <w:spacing w:before="240"/>
        <w:jc w:val="left"/>
        <w:rPr>
          <w:rStyle w:val="af8"/>
          <w:i/>
          <w:color w:val="0070C0"/>
          <w:sz w:val="20"/>
          <w:szCs w:val="20"/>
          <w:lang w:val="en-GB"/>
        </w:rPr>
      </w:pPr>
      <w:r>
        <w:rPr>
          <w:i/>
          <w:color w:val="0070C0"/>
          <w:sz w:val="20"/>
          <w:szCs w:val="20"/>
        </w:rPr>
        <w:t xml:space="preserve">A model manuscript of a draft International Standard (known as “The Rice Model”) is available at </w:t>
      </w:r>
      <w:hyperlink r:id="rId11" w:history="1">
        <w:r>
          <w:rPr>
            <w:rStyle w:val="af8"/>
            <w:rFonts w:eastAsia="Times New Roman"/>
            <w:i/>
            <w:sz w:val="20"/>
            <w:szCs w:val="20"/>
            <w:lang w:val="en-GB"/>
          </w:rPr>
          <w:t>https://www.iso.org/iso/model_document-rice_model.pdf</w:t>
        </w:r>
      </w:hyperlink>
    </w:p>
    <w:p w14:paraId="683C1D3E" w14:textId="77777777" w:rsidR="00DD29A1" w:rsidRDefault="00DD29A1">
      <w:pPr>
        <w:pStyle w:val="aa"/>
      </w:pPr>
    </w:p>
    <w:p w14:paraId="653ABAD9" w14:textId="77777777" w:rsidR="00DD29A1" w:rsidRDefault="00DD29A1">
      <w:pPr>
        <w:pStyle w:val="aa"/>
        <w:sectPr w:rsidR="00DD29A1">
          <w:headerReference w:type="even" r:id="rId12"/>
          <w:footerReference w:type="even" r:id="rId13"/>
          <w:footerReference w:type="default" r:id="rId14"/>
          <w:type w:val="oddPage"/>
          <w:pgSz w:w="11906" w:h="16838"/>
          <w:pgMar w:top="794" w:right="737" w:bottom="284" w:left="851" w:header="709" w:footer="0" w:gutter="567"/>
          <w:cols w:space="720"/>
        </w:sectPr>
      </w:pPr>
    </w:p>
    <w:p w14:paraId="191F1191" w14:textId="77777777" w:rsidR="00DD29A1" w:rsidRDefault="006C2CF1">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Pr>
          <w:color w:val="auto"/>
        </w:rPr>
        <w:lastRenderedPageBreak/>
        <w:t xml:space="preserve">© ISO </w:t>
      </w:r>
      <w:r>
        <w:rPr>
          <w:color w:val="auto"/>
        </w:rPr>
        <w:t>20XX</w:t>
      </w:r>
    </w:p>
    <w:p w14:paraId="57F1AF62"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6DE215EB"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ISO copyright office</w:t>
      </w:r>
    </w:p>
    <w:p w14:paraId="156FD7FA"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CP 401 • Ch. de Blandonnet 8</w:t>
      </w:r>
    </w:p>
    <w:p w14:paraId="7EBD522E"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CH-1214 Vernier, Geneva</w:t>
      </w:r>
    </w:p>
    <w:p w14:paraId="4006B00A"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Pr>
          <w:color w:val="auto"/>
          <w:sz w:val="20"/>
          <w:lang w:val="en-US"/>
        </w:rPr>
        <w:t>Phone: +41 22 749 01 11</w:t>
      </w:r>
    </w:p>
    <w:p w14:paraId="5B9C36E3" w14:textId="77777777" w:rsidR="00DD29A1" w:rsidRDefault="006C2CF1">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Pr>
          <w:color w:val="auto"/>
          <w:sz w:val="20"/>
          <w:lang w:val="de-DE"/>
        </w:rPr>
        <w:t>Email: copyright@iso.org</w:t>
      </w:r>
    </w:p>
    <w:p w14:paraId="12F298B4" w14:textId="77777777" w:rsidR="00DD29A1" w:rsidRDefault="006C2CF1">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Pr>
          <w:color w:val="auto"/>
          <w:sz w:val="20"/>
          <w:lang w:val="de-DE"/>
        </w:rPr>
        <w:t>Website: www.iso.org</w:t>
      </w:r>
    </w:p>
    <w:p w14:paraId="7FD8FCFD" w14:textId="77777777" w:rsidR="00DD29A1" w:rsidRDefault="006C2CF1">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Pr>
          <w:color w:val="auto"/>
          <w:sz w:val="20"/>
          <w:lang w:val="de-DE"/>
        </w:rPr>
        <w:t>Published in Switzerland</w:t>
      </w:r>
    </w:p>
    <w:p w14:paraId="426E80AD" w14:textId="77777777" w:rsidR="00DD29A1" w:rsidRDefault="006C2CF1">
      <w:pPr>
        <w:pStyle w:val="zzContents"/>
        <w:spacing w:before="0"/>
      </w:pPr>
      <w:r>
        <w:t>Contents</w:t>
      </w:r>
    </w:p>
    <w:p w14:paraId="244B55F9" w14:textId="77777777" w:rsidR="00DD29A1" w:rsidRDefault="006C2CF1">
      <w:pPr>
        <w:pStyle w:val="TOC1"/>
        <w:tabs>
          <w:tab w:val="clear" w:pos="403"/>
          <w:tab w:val="clear" w:pos="720"/>
          <w:tab w:val="clear" w:pos="9752"/>
          <w:tab w:val="right" w:leader="dot" w:pos="9751"/>
        </w:tabs>
      </w:pPr>
      <w:r>
        <w:fldChar w:fldCharType="begin"/>
      </w:r>
      <w:r>
        <w:instrText xml:space="preserve"> TOC \o "1-3" \h \z \t "Heading 1;1;ANNEX;1;Biblio Title;1;Foreword Title;1;Intro Title;1" </w:instrText>
      </w:r>
      <w:r>
        <w:fldChar w:fldCharType="separate"/>
      </w:r>
      <w:hyperlink w:anchor="_Toc9983" w:history="1">
        <w:r>
          <w:t>Foreword</w:t>
        </w:r>
        <w:r>
          <w:tab/>
        </w:r>
        <w:r>
          <w:fldChar w:fldCharType="begin"/>
        </w:r>
        <w:r>
          <w:instrText xml:space="preserve"> PAGEREF _Toc9983 \h </w:instrText>
        </w:r>
        <w:r>
          <w:fldChar w:fldCharType="separate"/>
        </w:r>
        <w:r>
          <w:t>iv</w:t>
        </w:r>
        <w:r>
          <w:fldChar w:fldCharType="end"/>
        </w:r>
      </w:hyperlink>
    </w:p>
    <w:p w14:paraId="792E0539" w14:textId="77777777" w:rsidR="00DD29A1" w:rsidRDefault="006C2CF1">
      <w:pPr>
        <w:pStyle w:val="TOC1"/>
        <w:tabs>
          <w:tab w:val="clear" w:pos="403"/>
          <w:tab w:val="clear" w:pos="720"/>
          <w:tab w:val="clear" w:pos="9752"/>
          <w:tab w:val="right" w:leader="dot" w:pos="9751"/>
        </w:tabs>
      </w:pPr>
      <w:hyperlink w:anchor="_Toc12412" w:history="1">
        <w:r>
          <w:t>Introduction</w:t>
        </w:r>
        <w:r>
          <w:tab/>
        </w:r>
        <w:r>
          <w:fldChar w:fldCharType="begin"/>
        </w:r>
        <w:r>
          <w:instrText xml:space="preserve"> PAGEREF _Toc12412 \h </w:instrText>
        </w:r>
        <w:r>
          <w:fldChar w:fldCharType="separate"/>
        </w:r>
        <w:r>
          <w:t>v</w:t>
        </w:r>
        <w:r>
          <w:fldChar w:fldCharType="end"/>
        </w:r>
      </w:hyperlink>
    </w:p>
    <w:p w14:paraId="758B5EC1" w14:textId="77777777" w:rsidR="00DD29A1" w:rsidRDefault="006C2CF1">
      <w:pPr>
        <w:pStyle w:val="TOC1"/>
        <w:tabs>
          <w:tab w:val="clear" w:pos="403"/>
          <w:tab w:val="clear" w:pos="720"/>
          <w:tab w:val="clear" w:pos="9752"/>
          <w:tab w:val="right" w:leader="dot" w:pos="9751"/>
        </w:tabs>
      </w:pPr>
      <w:hyperlink w:anchor="_Toc4553" w:history="1">
        <w:r>
          <w:t xml:space="preserve">1 </w:t>
        </w:r>
        <w:r>
          <w:t>Scope</w:t>
        </w:r>
        <w:r>
          <w:tab/>
        </w:r>
        <w:r>
          <w:fldChar w:fldCharType="begin"/>
        </w:r>
        <w:r>
          <w:instrText xml:space="preserve"> PAGEREF _Toc4553 \h </w:instrText>
        </w:r>
        <w:r>
          <w:fldChar w:fldCharType="separate"/>
        </w:r>
        <w:r>
          <w:t>1</w:t>
        </w:r>
        <w:r>
          <w:fldChar w:fldCharType="end"/>
        </w:r>
      </w:hyperlink>
    </w:p>
    <w:p w14:paraId="7EBF0679" w14:textId="77777777" w:rsidR="00DD29A1" w:rsidRDefault="006C2CF1">
      <w:pPr>
        <w:pStyle w:val="TOC1"/>
        <w:tabs>
          <w:tab w:val="clear" w:pos="403"/>
          <w:tab w:val="clear" w:pos="720"/>
          <w:tab w:val="clear" w:pos="9752"/>
          <w:tab w:val="right" w:leader="dot" w:pos="9751"/>
        </w:tabs>
      </w:pPr>
      <w:hyperlink w:anchor="_Toc3147" w:history="1">
        <w:r>
          <w:t xml:space="preserve">2 </w:t>
        </w:r>
        <w:r>
          <w:t>Normative references</w:t>
        </w:r>
        <w:r>
          <w:tab/>
        </w:r>
        <w:r>
          <w:fldChar w:fldCharType="begin"/>
        </w:r>
        <w:r>
          <w:instrText xml:space="preserve"> PAGEREF _Toc3147 \h </w:instrText>
        </w:r>
        <w:r>
          <w:fldChar w:fldCharType="separate"/>
        </w:r>
        <w:r>
          <w:t>1</w:t>
        </w:r>
        <w:r>
          <w:fldChar w:fldCharType="end"/>
        </w:r>
      </w:hyperlink>
    </w:p>
    <w:p w14:paraId="0168539C" w14:textId="77777777" w:rsidR="00DD29A1" w:rsidRDefault="006C2CF1">
      <w:pPr>
        <w:pStyle w:val="TOC1"/>
        <w:tabs>
          <w:tab w:val="clear" w:pos="403"/>
          <w:tab w:val="clear" w:pos="720"/>
          <w:tab w:val="clear" w:pos="9752"/>
          <w:tab w:val="right" w:leader="dot" w:pos="9751"/>
        </w:tabs>
      </w:pPr>
      <w:hyperlink w:anchor="_Toc14969" w:history="1">
        <w:r>
          <w:t xml:space="preserve">3 </w:t>
        </w:r>
        <w:r>
          <w:t>Terms and definitions</w:t>
        </w:r>
        <w:r>
          <w:tab/>
        </w:r>
        <w:r>
          <w:fldChar w:fldCharType="begin"/>
        </w:r>
        <w:r>
          <w:instrText xml:space="preserve"> PAGEREF _Toc14969 \h </w:instrText>
        </w:r>
        <w:r>
          <w:fldChar w:fldCharType="separate"/>
        </w:r>
        <w:r>
          <w:t>1</w:t>
        </w:r>
        <w:r>
          <w:fldChar w:fldCharType="end"/>
        </w:r>
      </w:hyperlink>
    </w:p>
    <w:p w14:paraId="1A5C40B2" w14:textId="77777777" w:rsidR="00DD29A1" w:rsidRDefault="006C2CF1">
      <w:pPr>
        <w:pStyle w:val="TOC1"/>
        <w:tabs>
          <w:tab w:val="clear" w:pos="403"/>
          <w:tab w:val="clear" w:pos="720"/>
          <w:tab w:val="clear" w:pos="9752"/>
          <w:tab w:val="right" w:leader="dot" w:pos="9751"/>
        </w:tabs>
      </w:pPr>
      <w:hyperlink w:anchor="_Toc11268" w:history="1">
        <w:r>
          <w:t xml:space="preserve">4 </w:t>
        </w:r>
        <w:r>
          <w:rPr>
            <w:rFonts w:eastAsia="宋体" w:cs="Cambria"/>
          </w:rPr>
          <w:t>Principle</w:t>
        </w:r>
        <w:r>
          <w:tab/>
        </w:r>
        <w:r>
          <w:fldChar w:fldCharType="begin"/>
        </w:r>
        <w:r>
          <w:instrText xml:space="preserve"> PAGEREF _Toc11268 \h </w:instrText>
        </w:r>
        <w:r>
          <w:fldChar w:fldCharType="separate"/>
        </w:r>
        <w:r>
          <w:t>1</w:t>
        </w:r>
        <w:r>
          <w:fldChar w:fldCharType="end"/>
        </w:r>
      </w:hyperlink>
    </w:p>
    <w:p w14:paraId="602AA8E8" w14:textId="77777777" w:rsidR="00DD29A1" w:rsidRDefault="006C2CF1">
      <w:pPr>
        <w:pStyle w:val="TOC1"/>
        <w:tabs>
          <w:tab w:val="clear" w:pos="403"/>
          <w:tab w:val="clear" w:pos="720"/>
          <w:tab w:val="clear" w:pos="9752"/>
          <w:tab w:val="right" w:leader="dot" w:pos="9751"/>
        </w:tabs>
      </w:pPr>
      <w:hyperlink w:anchor="_Toc9105" w:history="1">
        <w:r>
          <w:t xml:space="preserve">5 </w:t>
        </w:r>
        <w:r>
          <w:rPr>
            <w:rFonts w:eastAsia="宋体" w:cs="Cambria"/>
          </w:rPr>
          <w:t>Reagents and material</w:t>
        </w:r>
        <w:r>
          <w:t>s</w:t>
        </w:r>
        <w:r>
          <w:tab/>
        </w:r>
        <w:r>
          <w:fldChar w:fldCharType="begin"/>
        </w:r>
        <w:r>
          <w:instrText xml:space="preserve"> PAGEREF _Toc9105 \h </w:instrText>
        </w:r>
        <w:r>
          <w:fldChar w:fldCharType="separate"/>
        </w:r>
        <w:r>
          <w:t>1</w:t>
        </w:r>
        <w:r>
          <w:fldChar w:fldCharType="end"/>
        </w:r>
      </w:hyperlink>
    </w:p>
    <w:p w14:paraId="5F9EB31E" w14:textId="77777777" w:rsidR="00DD29A1" w:rsidRDefault="006C2CF1">
      <w:pPr>
        <w:pStyle w:val="TOC1"/>
        <w:tabs>
          <w:tab w:val="clear" w:pos="403"/>
          <w:tab w:val="clear" w:pos="720"/>
          <w:tab w:val="clear" w:pos="9752"/>
          <w:tab w:val="right" w:leader="dot" w:pos="9751"/>
        </w:tabs>
      </w:pPr>
      <w:hyperlink w:anchor="_Toc22282" w:history="1">
        <w:r>
          <w:rPr>
            <w:rFonts w:eastAsia="宋体"/>
          </w:rPr>
          <w:t xml:space="preserve">6 </w:t>
        </w:r>
        <w:r>
          <w:rPr>
            <w:rFonts w:eastAsia="宋体" w:cs="Cambria"/>
          </w:rPr>
          <w:t>Apparatus</w:t>
        </w:r>
        <w:r>
          <w:tab/>
        </w:r>
        <w:r>
          <w:fldChar w:fldCharType="begin"/>
        </w:r>
        <w:r>
          <w:instrText xml:space="preserve"> PAGEREF _Toc22282 \h </w:instrText>
        </w:r>
        <w:r>
          <w:fldChar w:fldCharType="separate"/>
        </w:r>
        <w:r>
          <w:t>1</w:t>
        </w:r>
        <w:r>
          <w:fldChar w:fldCharType="end"/>
        </w:r>
      </w:hyperlink>
    </w:p>
    <w:p w14:paraId="664A7E88" w14:textId="77777777" w:rsidR="00DD29A1" w:rsidRDefault="006C2CF1">
      <w:pPr>
        <w:pStyle w:val="TOC1"/>
        <w:tabs>
          <w:tab w:val="clear" w:pos="403"/>
          <w:tab w:val="clear" w:pos="720"/>
          <w:tab w:val="clear" w:pos="9752"/>
          <w:tab w:val="right" w:leader="dot" w:pos="9751"/>
        </w:tabs>
      </w:pPr>
      <w:hyperlink w:anchor="_Toc12847" w:history="1">
        <w:r>
          <w:rPr>
            <w:rFonts w:eastAsia="宋体"/>
          </w:rPr>
          <w:t xml:space="preserve">7 </w:t>
        </w:r>
        <w:r>
          <w:rPr>
            <w:rFonts w:eastAsia="宋体" w:cs="Cambria"/>
          </w:rPr>
          <w:t>Sampling</w:t>
        </w:r>
        <w:r>
          <w:tab/>
        </w:r>
        <w:r>
          <w:fldChar w:fldCharType="begin"/>
        </w:r>
        <w:r>
          <w:instrText xml:space="preserve"> PAGEREF _Toc12847 \h </w:instrText>
        </w:r>
        <w:r>
          <w:fldChar w:fldCharType="separate"/>
        </w:r>
        <w:r>
          <w:t>2</w:t>
        </w:r>
        <w:r>
          <w:fldChar w:fldCharType="end"/>
        </w:r>
      </w:hyperlink>
    </w:p>
    <w:p w14:paraId="52E5122E" w14:textId="77777777" w:rsidR="00DD29A1" w:rsidRDefault="006C2CF1">
      <w:pPr>
        <w:pStyle w:val="TOC1"/>
        <w:tabs>
          <w:tab w:val="clear" w:pos="403"/>
          <w:tab w:val="clear" w:pos="720"/>
          <w:tab w:val="clear" w:pos="9752"/>
          <w:tab w:val="right" w:leader="dot" w:pos="9751"/>
        </w:tabs>
      </w:pPr>
      <w:hyperlink w:anchor="_Toc13377" w:history="1">
        <w:r>
          <w:rPr>
            <w:rFonts w:eastAsia="宋体"/>
          </w:rPr>
          <w:t xml:space="preserve">8 </w:t>
        </w:r>
        <w:r>
          <w:rPr>
            <w:rFonts w:eastAsia="宋体" w:cs="Cambria"/>
          </w:rPr>
          <w:t>Procedure</w:t>
        </w:r>
        <w:r>
          <w:tab/>
        </w:r>
        <w:r>
          <w:fldChar w:fldCharType="begin"/>
        </w:r>
        <w:r>
          <w:instrText xml:space="preserve"> PAGEREF _Toc13377 \h </w:instrText>
        </w:r>
        <w:r>
          <w:fldChar w:fldCharType="separate"/>
        </w:r>
        <w:r>
          <w:t>2</w:t>
        </w:r>
        <w:r>
          <w:fldChar w:fldCharType="end"/>
        </w:r>
      </w:hyperlink>
    </w:p>
    <w:p w14:paraId="38F74255" w14:textId="77777777" w:rsidR="00DD29A1" w:rsidRDefault="006C2CF1">
      <w:pPr>
        <w:pStyle w:val="TOC1"/>
        <w:tabs>
          <w:tab w:val="clear" w:pos="403"/>
          <w:tab w:val="clear" w:pos="720"/>
          <w:tab w:val="clear" w:pos="9752"/>
          <w:tab w:val="right" w:leader="dot" w:pos="9751"/>
        </w:tabs>
      </w:pPr>
      <w:hyperlink w:anchor="_Toc22261" w:history="1">
        <w:r>
          <w:rPr>
            <w:rFonts w:eastAsia="宋体"/>
          </w:rPr>
          <w:t xml:space="preserve">9 </w:t>
        </w:r>
        <w:r>
          <w:rPr>
            <w:rFonts w:eastAsia="宋体" w:cs="Cambria"/>
          </w:rPr>
          <w:t>Examination of chromatograms</w:t>
        </w:r>
        <w:r>
          <w:tab/>
        </w:r>
        <w:r>
          <w:fldChar w:fldCharType="begin"/>
        </w:r>
        <w:r>
          <w:instrText xml:space="preserve"> PAGEREF _Toc22261 \h </w:instrText>
        </w:r>
        <w:r>
          <w:fldChar w:fldCharType="separate"/>
        </w:r>
        <w:r>
          <w:t>3</w:t>
        </w:r>
        <w:r>
          <w:fldChar w:fldCharType="end"/>
        </w:r>
      </w:hyperlink>
    </w:p>
    <w:p w14:paraId="00B885A2" w14:textId="77777777" w:rsidR="00DD29A1" w:rsidRDefault="006C2CF1">
      <w:pPr>
        <w:pStyle w:val="TOC1"/>
        <w:tabs>
          <w:tab w:val="clear" w:pos="403"/>
          <w:tab w:val="clear" w:pos="720"/>
          <w:tab w:val="clear" w:pos="9752"/>
          <w:tab w:val="right" w:leader="dot" w:pos="9751"/>
        </w:tabs>
      </w:pPr>
      <w:hyperlink w:anchor="_Toc2509" w:history="1">
        <w:r>
          <w:t xml:space="preserve">10 </w:t>
        </w:r>
        <w:r>
          <w:rPr>
            <w:rFonts w:eastAsia="宋体" w:cs="Cambria"/>
          </w:rPr>
          <w:t>Expression of results</w:t>
        </w:r>
        <w:r>
          <w:tab/>
        </w:r>
        <w:r>
          <w:fldChar w:fldCharType="begin"/>
        </w:r>
        <w:r>
          <w:instrText xml:space="preserve"> PAGEREF _Toc2509 \h </w:instrText>
        </w:r>
        <w:r>
          <w:fldChar w:fldCharType="separate"/>
        </w:r>
        <w:r>
          <w:t>3</w:t>
        </w:r>
        <w:r>
          <w:fldChar w:fldCharType="end"/>
        </w:r>
      </w:hyperlink>
    </w:p>
    <w:p w14:paraId="41EB47A8" w14:textId="77777777" w:rsidR="00DD29A1" w:rsidRDefault="006C2CF1">
      <w:pPr>
        <w:pStyle w:val="TOC1"/>
        <w:tabs>
          <w:tab w:val="clear" w:pos="403"/>
          <w:tab w:val="clear" w:pos="720"/>
          <w:tab w:val="clear" w:pos="9752"/>
          <w:tab w:val="right" w:leader="dot" w:pos="9751"/>
        </w:tabs>
      </w:pPr>
      <w:hyperlink w:anchor="_Toc8029" w:history="1">
        <w:r>
          <w:rPr>
            <w:rFonts w:eastAsia="宋体"/>
          </w:rPr>
          <w:t xml:space="preserve">11 </w:t>
        </w:r>
        <w:r>
          <w:rPr>
            <w:rFonts w:eastAsia="宋体" w:cs="Cambria"/>
          </w:rPr>
          <w:t>Precision</w:t>
        </w:r>
        <w:r>
          <w:tab/>
        </w:r>
        <w:r>
          <w:fldChar w:fldCharType="begin"/>
        </w:r>
        <w:r>
          <w:instrText xml:space="preserve"> PAGEREF _Toc8029 \h </w:instrText>
        </w:r>
        <w:r>
          <w:fldChar w:fldCharType="separate"/>
        </w:r>
        <w:r>
          <w:t>3</w:t>
        </w:r>
        <w:r>
          <w:fldChar w:fldCharType="end"/>
        </w:r>
      </w:hyperlink>
    </w:p>
    <w:p w14:paraId="7A28CD86" w14:textId="77777777" w:rsidR="00DD29A1" w:rsidRDefault="006C2CF1">
      <w:pPr>
        <w:pStyle w:val="TOC1"/>
        <w:tabs>
          <w:tab w:val="clear" w:pos="403"/>
          <w:tab w:val="clear" w:pos="720"/>
          <w:tab w:val="clear" w:pos="9752"/>
          <w:tab w:val="right" w:leader="dot" w:pos="9751"/>
        </w:tabs>
      </w:pPr>
      <w:hyperlink w:anchor="_Toc6039" w:history="1">
        <w:r>
          <w:rPr>
            <w:rFonts w:eastAsia="宋体"/>
          </w:rPr>
          <w:t xml:space="preserve">12 </w:t>
        </w:r>
        <w:r>
          <w:rPr>
            <w:rFonts w:eastAsia="宋体" w:cs="Cambria"/>
          </w:rPr>
          <w:t>Test report</w:t>
        </w:r>
        <w:r>
          <w:tab/>
        </w:r>
        <w:r>
          <w:fldChar w:fldCharType="begin"/>
        </w:r>
        <w:r>
          <w:instrText xml:space="preserve"> PAGEREF _Toc6039 \h </w:instrText>
        </w:r>
        <w:r>
          <w:fldChar w:fldCharType="separate"/>
        </w:r>
        <w:r>
          <w:t>4</w:t>
        </w:r>
        <w:r>
          <w:fldChar w:fldCharType="end"/>
        </w:r>
      </w:hyperlink>
    </w:p>
    <w:p w14:paraId="0A617CA7" w14:textId="77777777" w:rsidR="00DD29A1" w:rsidRDefault="006C2CF1">
      <w:pPr>
        <w:pStyle w:val="TOC1"/>
      </w:pPr>
      <w:r>
        <w:fldChar w:fldCharType="end"/>
      </w:r>
    </w:p>
    <w:p w14:paraId="58F7C698" w14:textId="77777777" w:rsidR="00DD29A1" w:rsidRDefault="006C2CF1">
      <w:pPr>
        <w:pStyle w:val="ForewordTitle"/>
      </w:pPr>
      <w:bookmarkStart w:id="0" w:name="_Toc353342667"/>
      <w:bookmarkStart w:id="1" w:name="_Toc9983"/>
      <w:r>
        <w:t>Foreword</w:t>
      </w:r>
      <w:bookmarkEnd w:id="0"/>
      <w:bookmarkEnd w:id="1"/>
    </w:p>
    <w:p w14:paraId="348A8A57" w14:textId="77777777" w:rsidR="00DD29A1" w:rsidRDefault="006C2CF1">
      <w:pPr>
        <w:pStyle w:val="ForewordText"/>
        <w:rPr>
          <w:lang w:val="en-GB"/>
        </w:rPr>
      </w:pPr>
      <w:r>
        <w:rPr>
          <w:lang w:val="en-GB"/>
        </w:rPr>
        <w:t xml:space="preserve">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w:t>
      </w:r>
      <w:r>
        <w:rPr>
          <w:lang w:val="en-GB"/>
        </w:rPr>
        <w:t>closely with the International Electrotechnical Commission (IEC) on all matters of electrotechnical standardization.</w:t>
      </w:r>
    </w:p>
    <w:p w14:paraId="41E9EC45" w14:textId="77777777" w:rsidR="00DD29A1" w:rsidRDefault="006C2CF1">
      <w:pPr>
        <w:pStyle w:val="ForewordText"/>
        <w:rPr>
          <w:lang w:val="en-GB"/>
        </w:rPr>
      </w:pPr>
      <w:r>
        <w:rPr>
          <w:lang w:val="en-GB"/>
        </w:rPr>
        <w:t xml:space="preserve">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ISO/IEC Directives, Part 2 (see </w:t>
      </w:r>
      <w:hyperlink r:id="rId15" w:history="1">
        <w:r>
          <w:rPr>
            <w:rStyle w:val="af8"/>
            <w:lang w:val="en-GB"/>
          </w:rPr>
          <w:t>www.iso.org/directives</w:t>
        </w:r>
      </w:hyperlink>
      <w:r>
        <w:rPr>
          <w:lang w:val="en-GB"/>
        </w:rPr>
        <w:t>).</w:t>
      </w:r>
    </w:p>
    <w:p w14:paraId="4619E38A" w14:textId="77777777" w:rsidR="00DD29A1" w:rsidRDefault="006C2CF1">
      <w:pPr>
        <w:pStyle w:val="ForewordText"/>
        <w:rPr>
          <w:lang w:val="en-GB"/>
        </w:rPr>
      </w:pPr>
      <w:r>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Pr>
          <w:i/>
          <w:iCs/>
          <w:color w:val="FF0000"/>
          <w:lang w:val="en-US"/>
        </w:rPr>
        <w:t>[had/had not]</w:t>
      </w:r>
      <w:r>
        <w:rPr>
          <w:lang w:val="en-US"/>
        </w:rPr>
        <w:t xml:space="preserve"> received notice of (a) patent(s) which may be required to implement this document. However, implementers are cautioned that this may not represent the latest information, which may be obtained from the patent database available at </w:t>
      </w:r>
      <w:hyperlink r:id="rId16" w:history="1">
        <w:r>
          <w:rPr>
            <w:rStyle w:val="af8"/>
            <w:lang w:val="en-US"/>
          </w:rPr>
          <w:t>www.iso.org/patents</w:t>
        </w:r>
      </w:hyperlink>
      <w:r>
        <w:rPr>
          <w:lang w:val="en-US"/>
        </w:rPr>
        <w:t>. ISO shall not be held responsible for identifying any or all such patent rights</w:t>
      </w:r>
      <w:r>
        <w:rPr>
          <w:lang w:val="en-GB"/>
        </w:rPr>
        <w:t>.</w:t>
      </w:r>
    </w:p>
    <w:p w14:paraId="6A3B021E" w14:textId="77777777" w:rsidR="00DD29A1" w:rsidRDefault="006C2CF1">
      <w:pPr>
        <w:pStyle w:val="ForewordText"/>
        <w:rPr>
          <w:lang w:val="en-GB"/>
        </w:rPr>
      </w:pPr>
      <w:r>
        <w:rPr>
          <w:lang w:val="en-GB"/>
        </w:rPr>
        <w:t>Any trade name used in this document is information given for the convenience of users and does not constitute an endorsement.</w:t>
      </w:r>
    </w:p>
    <w:p w14:paraId="74CD22B2" w14:textId="77777777" w:rsidR="00DD29A1" w:rsidRDefault="006C2CF1">
      <w:pPr>
        <w:pStyle w:val="ForewordText"/>
        <w:rPr>
          <w:lang w:val="en-GB"/>
        </w:rPr>
      </w:pPr>
      <w:r>
        <w:rPr>
          <w:lang w:val="en-GB"/>
        </w:rPr>
        <w:t>For an explanation of the voluntary nature of standards, the meaning of ISO specific terms and expressions related to conformity assessment, as well as information about ISO's adherence to the World Trade Organization (WTO) principles in the Technical Barriers to Trade (TBT),</w:t>
      </w:r>
      <w:r>
        <w:rPr>
          <w:color w:val="FF0000"/>
          <w:lang w:val="en-GB"/>
        </w:rPr>
        <w:t xml:space="preserve"> </w:t>
      </w:r>
      <w:r>
        <w:rPr>
          <w:lang w:val="en-GB"/>
        </w:rPr>
        <w:t xml:space="preserve">see </w:t>
      </w:r>
      <w:hyperlink r:id="rId17" w:history="1">
        <w:r>
          <w:rPr>
            <w:rStyle w:val="af8"/>
            <w:rFonts w:eastAsia="Malgun Gothic" w:cs="Arial"/>
            <w:szCs w:val="24"/>
            <w:lang w:val="en-GB"/>
          </w:rPr>
          <w:t>www.iso.org/iso/foreword.html</w:t>
        </w:r>
      </w:hyperlink>
      <w:r>
        <w:rPr>
          <w:rFonts w:eastAsia="Malgun Gothic"/>
          <w:lang w:val="en-GB"/>
        </w:rPr>
        <w:t>.</w:t>
      </w:r>
    </w:p>
    <w:p w14:paraId="7CB8F2C8" w14:textId="77777777" w:rsidR="00DD29A1" w:rsidRDefault="006C2CF1">
      <w:pPr>
        <w:jc w:val="left"/>
      </w:pPr>
      <w:r>
        <w:rPr>
          <w:lang w:val="en-US" w:eastAsia="zh-CN"/>
        </w:rPr>
        <w:t>This document was prepared by Technical Committee ISO/TC 91</w:t>
      </w:r>
      <w:r>
        <w:rPr>
          <w:lang w:val="en-US" w:eastAsia="zh-CN"/>
        </w:rPr>
        <w:t>, Surface active agents.</w:t>
      </w:r>
    </w:p>
    <w:p w14:paraId="5E46E70E" w14:textId="77777777" w:rsidR="00DD29A1" w:rsidRDefault="006C2CF1">
      <w:pPr>
        <w:pStyle w:val="ForewordText"/>
        <w:rPr>
          <w:iCs/>
          <w:lang w:val="en-GB"/>
        </w:rPr>
      </w:pPr>
      <w:r>
        <w:rPr>
          <w:iCs/>
          <w:lang w:val="en-GB"/>
        </w:rPr>
        <w:t xml:space="preserve">Any feedback or questions on this document should be directed to the user’s national standards body. A complete listing of these bodies can be found at </w:t>
      </w:r>
      <w:hyperlink r:id="rId18" w:history="1">
        <w:r>
          <w:rPr>
            <w:rStyle w:val="af8"/>
            <w:iCs/>
            <w:lang w:val="en-US"/>
          </w:rPr>
          <w:t>www.iso.org/members.html</w:t>
        </w:r>
      </w:hyperlink>
      <w:r>
        <w:rPr>
          <w:iCs/>
          <w:lang w:val="en-GB"/>
        </w:rPr>
        <w:t>.</w:t>
      </w:r>
    </w:p>
    <w:p w14:paraId="611ADC6D" w14:textId="77777777" w:rsidR="00DD29A1" w:rsidRDefault="006C2CF1">
      <w:pPr>
        <w:pStyle w:val="IntroTitle"/>
        <w:pageBreakBefore/>
      </w:pPr>
      <w:bookmarkStart w:id="2" w:name="_Toc353342668"/>
      <w:bookmarkStart w:id="3" w:name="_Toc12412"/>
      <w:r>
        <w:t>Introduction</w:t>
      </w:r>
      <w:bookmarkEnd w:id="2"/>
      <w:bookmarkEnd w:id="3"/>
    </w:p>
    <w:p w14:paraId="5E87215B" w14:textId="77777777" w:rsidR="00DD29A1" w:rsidRDefault="006C2CF1">
      <w:pPr>
        <w:ind w:firstLineChars="200" w:firstLine="400"/>
      </w:pPr>
      <w:r>
        <w:rPr>
          <w:rFonts w:hint="eastAsia"/>
          <w:sz w:val="20"/>
          <w:lang w:val="en-US" w:eastAsia="zh-CN"/>
        </w:rPr>
        <w:t>测定表面活性剂或洗涤剂等产品中脂肪烷基三甲基氯化铵阳离子活性物含量时，通常按照两相滴定法测定，该方法要求提供该活性物的平均相对分子质量，才可以对活性物含量进行准确定量，这就需要活性物的准确的平均相对分子质量。</w:t>
      </w:r>
    </w:p>
    <w:p w14:paraId="01177F26" w14:textId="77777777" w:rsidR="00DD29A1" w:rsidRDefault="006C2CF1">
      <w:pPr>
        <w:ind w:firstLineChars="200" w:firstLine="400"/>
        <w:sectPr w:rsidR="00DD29A1">
          <w:headerReference w:type="even" r:id="rId19"/>
          <w:headerReference w:type="default" r:id="rId20"/>
          <w:footerReference w:type="even" r:id="rId21"/>
          <w:footerReference w:type="default" r:id="rId22"/>
          <w:pgSz w:w="11906" w:h="16838"/>
          <w:pgMar w:top="794" w:right="737" w:bottom="284" w:left="851" w:header="709" w:footer="0" w:gutter="567"/>
          <w:pgNumType w:fmt="lowerRoman"/>
          <w:cols w:space="720"/>
        </w:sectPr>
      </w:pPr>
      <w:r>
        <w:rPr>
          <w:rFonts w:hint="eastAsia"/>
          <w:sz w:val="20"/>
          <w:lang w:val="en-US" w:eastAsia="zh-CN"/>
        </w:rPr>
        <w:t>本文件描述了采用气相色谱测定脂肪烷基三甲基氯化铵平均相对分子质量的方法：样品在汽化室进行热裂解生成脂肪烷基二甲胺，由其同系物分布测定脂肪烷基二甲基胺的平均相对分子质量；再由脂肪烷基二甲基胺的平均相对分子质量加氯甲烷（</w:t>
      </w:r>
      <w:r>
        <w:rPr>
          <w:rFonts w:hint="eastAsia"/>
          <w:sz w:val="20"/>
          <w:lang w:val="en-US" w:eastAsia="zh-CN"/>
        </w:rPr>
        <w:t>CH</w:t>
      </w:r>
      <w:r>
        <w:rPr>
          <w:rFonts w:hint="eastAsia"/>
          <w:sz w:val="20"/>
          <w:vertAlign w:val="subscript"/>
          <w:lang w:val="en-US" w:eastAsia="zh-CN"/>
        </w:rPr>
        <w:t>3</w:t>
      </w:r>
      <w:r>
        <w:rPr>
          <w:rFonts w:hint="eastAsia"/>
          <w:sz w:val="20"/>
          <w:lang w:val="en-US" w:eastAsia="zh-CN"/>
        </w:rPr>
        <w:t>Cl</w:t>
      </w:r>
      <w:r>
        <w:rPr>
          <w:rFonts w:hint="eastAsia"/>
          <w:sz w:val="20"/>
          <w:lang w:val="en-US" w:eastAsia="zh-CN"/>
        </w:rPr>
        <w:t>）的分子质量，计算得到脂肪烷基三甲基氯化按的平均相对分子质量。</w:t>
      </w:r>
    </w:p>
    <w:p w14:paraId="7D75752C" w14:textId="77777777" w:rsidR="00DD29A1" w:rsidRDefault="006C2CF1">
      <w:pPr>
        <w:spacing w:before="310" w:line="310" w:lineRule="exact"/>
        <w:rPr>
          <w:rFonts w:cs="Cambria"/>
          <w:b/>
          <w:bCs/>
          <w:sz w:val="28"/>
          <w:szCs w:val="28"/>
          <w:lang w:val="en-US" w:eastAsia="zh-CN"/>
        </w:rPr>
      </w:pPr>
      <w:bookmarkStart w:id="4" w:name="_Toc12783"/>
      <w:bookmarkStart w:id="5" w:name="_Toc23160"/>
      <w:r>
        <w:rPr>
          <w:rFonts w:cs="Cambria" w:hint="eastAsia"/>
          <w:b/>
          <w:bCs/>
          <w:sz w:val="28"/>
          <w:szCs w:val="28"/>
          <w:lang w:val="en-US" w:eastAsia="zh-CN"/>
        </w:rPr>
        <w:t>表面活性剂</w:t>
      </w:r>
      <w:r>
        <w:rPr>
          <w:rFonts w:cs="Cambria" w:hint="eastAsia"/>
          <w:b/>
          <w:bCs/>
          <w:sz w:val="28"/>
          <w:szCs w:val="28"/>
          <w:lang w:val="en-US" w:eastAsia="zh-CN"/>
        </w:rPr>
        <w:t xml:space="preserve">  </w:t>
      </w:r>
      <w:r>
        <w:rPr>
          <w:rFonts w:cs="Cambria" w:hint="eastAsia"/>
          <w:b/>
          <w:bCs/>
          <w:sz w:val="28"/>
          <w:szCs w:val="28"/>
          <w:lang w:val="en-US" w:eastAsia="zh-CN"/>
        </w:rPr>
        <w:t>脂肪烷基三甲基氯化铵平均相对分子质量的测定</w:t>
      </w:r>
      <w:r>
        <w:rPr>
          <w:rFonts w:cs="Cambria" w:hint="eastAsia"/>
          <w:b/>
          <w:bCs/>
          <w:sz w:val="28"/>
          <w:szCs w:val="28"/>
          <w:lang w:val="en-US" w:eastAsia="zh-CN"/>
        </w:rPr>
        <w:t xml:space="preserve"> </w:t>
      </w:r>
    </w:p>
    <w:p w14:paraId="1E1D04CF" w14:textId="77777777" w:rsidR="00DD29A1" w:rsidRDefault="006C2CF1">
      <w:pPr>
        <w:spacing w:before="310" w:line="310" w:lineRule="exact"/>
        <w:rPr>
          <w:rFonts w:cs="Cambria"/>
          <w:b/>
          <w:bCs/>
          <w:sz w:val="28"/>
          <w:szCs w:val="28"/>
          <w:lang w:val="en-US" w:eastAsia="zh-CN"/>
        </w:rPr>
      </w:pPr>
      <w:r>
        <w:rPr>
          <w:rFonts w:cs="Cambria" w:hint="eastAsia"/>
          <w:b/>
          <w:bCs/>
          <w:sz w:val="28"/>
          <w:szCs w:val="28"/>
          <w:lang w:val="en-US" w:eastAsia="zh-CN"/>
        </w:rPr>
        <w:t>第</w:t>
      </w:r>
      <w:r>
        <w:rPr>
          <w:rFonts w:cs="Cambria" w:hint="eastAsia"/>
          <w:b/>
          <w:bCs/>
          <w:sz w:val="28"/>
          <w:szCs w:val="28"/>
          <w:lang w:val="en-US" w:eastAsia="zh-CN"/>
        </w:rPr>
        <w:t>1</w:t>
      </w:r>
      <w:r>
        <w:rPr>
          <w:rFonts w:cs="Cambria" w:hint="eastAsia"/>
          <w:b/>
          <w:bCs/>
          <w:sz w:val="28"/>
          <w:szCs w:val="28"/>
          <w:lang w:val="en-US" w:eastAsia="zh-CN"/>
        </w:rPr>
        <w:t>部分：</w:t>
      </w:r>
    </w:p>
    <w:p w14:paraId="5A4E46E6" w14:textId="77777777" w:rsidR="00DD29A1" w:rsidRDefault="006C2CF1">
      <w:pPr>
        <w:pStyle w:val="zzSTDTitle"/>
        <w:spacing w:before="0" w:after="360"/>
        <w:rPr>
          <w:color w:val="auto"/>
          <w:szCs w:val="32"/>
        </w:rPr>
      </w:pPr>
      <w:r>
        <w:rPr>
          <w:rFonts w:cs="Cambria" w:hint="eastAsia"/>
          <w:bCs/>
          <w:color w:val="auto"/>
          <w:sz w:val="28"/>
          <w:szCs w:val="28"/>
          <w:lang w:val="en-US" w:eastAsia="zh-CN"/>
        </w:rPr>
        <w:t>气相色谱法</w:t>
      </w:r>
      <w:bookmarkEnd w:id="4"/>
      <w:bookmarkEnd w:id="5"/>
    </w:p>
    <w:p w14:paraId="0802CD42" w14:textId="77777777" w:rsidR="00DD29A1" w:rsidRDefault="006C2CF1">
      <w:pPr>
        <w:pStyle w:val="1"/>
        <w:tabs>
          <w:tab w:val="clear" w:pos="432"/>
        </w:tabs>
      </w:pPr>
      <w:r>
        <w:rPr>
          <w:rFonts w:eastAsia="宋体" w:hint="eastAsia"/>
          <w:lang w:val="en-US" w:eastAsia="zh-CN"/>
        </w:rPr>
        <w:t>范围</w:t>
      </w:r>
    </w:p>
    <w:p w14:paraId="6E891F6F" w14:textId="77777777" w:rsidR="00DD29A1" w:rsidRDefault="006C2CF1">
      <w:pPr>
        <w:pStyle w:val="Definition"/>
        <w:ind w:firstLineChars="200" w:firstLine="440"/>
        <w:rPr>
          <w:lang w:eastAsia="zh-CN"/>
        </w:rPr>
      </w:pPr>
      <w:r>
        <w:rPr>
          <w:rFonts w:hint="eastAsia"/>
          <w:lang w:val="en-US"/>
        </w:rPr>
        <w:t>本文件描述了一种气相色谱法（</w:t>
      </w:r>
      <w:r>
        <w:rPr>
          <w:rFonts w:hint="eastAsia"/>
          <w:lang w:val="en-US"/>
        </w:rPr>
        <w:t>GC</w:t>
      </w:r>
      <w:r>
        <w:rPr>
          <w:rFonts w:hint="eastAsia"/>
          <w:lang w:val="en-US"/>
        </w:rPr>
        <w:t>）测定脂肪族烷基三甲基氯化铵平均相对分子质量的方法</w:t>
      </w:r>
      <w:r>
        <w:rPr>
          <w:rFonts w:hint="eastAsia"/>
          <w:lang w:val="en-US" w:eastAsia="zh-CN"/>
        </w:rPr>
        <w:t>。</w:t>
      </w:r>
    </w:p>
    <w:p w14:paraId="1D87E9F3" w14:textId="77777777" w:rsidR="00DD29A1" w:rsidRDefault="006C2CF1">
      <w:pPr>
        <w:pStyle w:val="1"/>
        <w:tabs>
          <w:tab w:val="clear" w:pos="432"/>
        </w:tabs>
      </w:pPr>
      <w:bookmarkStart w:id="6" w:name="_Toc3147"/>
      <w:bookmarkStart w:id="7" w:name="_Toc353342670"/>
      <w:r>
        <w:rPr>
          <w:rFonts w:eastAsia="宋体" w:cs="Cambria" w:hint="eastAsia"/>
          <w:color w:val="231F20"/>
          <w:lang w:val="en-US" w:eastAsia="zh-CN"/>
        </w:rPr>
        <w:t>规范性引用文件</w:t>
      </w:r>
      <w:bookmarkEnd w:id="6"/>
      <w:bookmarkEnd w:id="7"/>
    </w:p>
    <w:p w14:paraId="0226D63D" w14:textId="77777777" w:rsidR="00DD29A1" w:rsidRDefault="006C2CF1">
      <w:pPr>
        <w:ind w:firstLineChars="200" w:firstLine="440"/>
        <w:rPr>
          <w:lang w:val="en-US" w:eastAsia="zh-CN"/>
        </w:rPr>
      </w:pPr>
      <w:r>
        <w:rPr>
          <w:rFonts w:hint="eastAsia"/>
          <w:lang w:val="en-US" w:eastAsia="zh-CN"/>
        </w:rPr>
        <w:t>本文档中引用了以下文件的全部或部分内容，这些文件对于本文档的应用是不可或缺的。对于有日期的引用文件，仅适用所引用的版本。对于无日期的引用文件，则适用引用文件的最新版本（包括任何修订）。</w:t>
      </w:r>
    </w:p>
    <w:p w14:paraId="26F5962A" w14:textId="77777777" w:rsidR="00DD29A1" w:rsidRDefault="006C2CF1">
      <w:pPr>
        <w:ind w:firstLineChars="200" w:firstLine="440"/>
        <w:rPr>
          <w:lang w:val="en-US"/>
        </w:rPr>
      </w:pPr>
      <w:r>
        <w:rPr>
          <w:rFonts w:hint="eastAsia"/>
          <w:lang w:val="en-US"/>
        </w:rPr>
        <w:t>ISO 607</w:t>
      </w:r>
      <w:r>
        <w:rPr>
          <w:rFonts w:hint="eastAsia"/>
          <w:lang w:val="en-US"/>
        </w:rPr>
        <w:t>，表面活性剂和洗涤剂——样品</w:t>
      </w:r>
      <w:r>
        <w:rPr>
          <w:rFonts w:hint="eastAsia"/>
          <w:lang w:val="en-US" w:eastAsia="zh-CN"/>
        </w:rPr>
        <w:t>分样</w:t>
      </w:r>
      <w:r>
        <w:rPr>
          <w:rFonts w:hint="eastAsia"/>
          <w:lang w:val="en-US"/>
        </w:rPr>
        <w:t>方法</w:t>
      </w:r>
    </w:p>
    <w:p w14:paraId="368E7EFC" w14:textId="77777777" w:rsidR="00DD29A1" w:rsidRDefault="006C2CF1">
      <w:pPr>
        <w:pStyle w:val="aa"/>
        <w:ind w:firstLineChars="200" w:firstLine="440"/>
      </w:pPr>
      <w:r>
        <w:rPr>
          <w:rFonts w:hint="eastAsia"/>
          <w:lang w:val="en-US"/>
        </w:rPr>
        <w:t>ISO 3696</w:t>
      </w:r>
      <w:r>
        <w:rPr>
          <w:rFonts w:hint="eastAsia"/>
          <w:lang w:val="en-US"/>
        </w:rPr>
        <w:t>，分析实验室用水——规范和试验方法</w:t>
      </w:r>
    </w:p>
    <w:p w14:paraId="13AA5D18" w14:textId="77777777" w:rsidR="00DD29A1" w:rsidRDefault="006C2CF1">
      <w:pPr>
        <w:pStyle w:val="1"/>
        <w:tabs>
          <w:tab w:val="clear" w:pos="432"/>
        </w:tabs>
      </w:pPr>
      <w:r>
        <w:rPr>
          <w:rFonts w:eastAsia="宋体" w:hint="eastAsia"/>
          <w:lang w:val="en-US" w:eastAsia="zh-CN"/>
        </w:rPr>
        <w:t>术语和定义</w:t>
      </w:r>
    </w:p>
    <w:p w14:paraId="09C22981" w14:textId="77777777" w:rsidR="00DD29A1" w:rsidRDefault="006C2CF1">
      <w:pPr>
        <w:ind w:firstLineChars="200" w:firstLine="440"/>
        <w:rPr>
          <w:lang w:val="en-US" w:eastAsia="zh-CN"/>
        </w:rPr>
      </w:pPr>
      <w:r>
        <w:rPr>
          <w:rFonts w:hint="eastAsia"/>
          <w:lang w:val="en-US" w:eastAsia="zh-CN"/>
        </w:rPr>
        <w:t>本文档中没有列出术语和定义。</w:t>
      </w:r>
      <w:r>
        <w:rPr>
          <w:rFonts w:hint="eastAsia"/>
          <w:lang w:val="en-US" w:eastAsia="zh-CN"/>
        </w:rPr>
        <w:t xml:space="preserve"> </w:t>
      </w:r>
    </w:p>
    <w:p w14:paraId="78BEEDC9" w14:textId="77777777" w:rsidR="00DD29A1" w:rsidRDefault="006C2CF1">
      <w:pPr>
        <w:ind w:firstLineChars="200" w:firstLine="440"/>
        <w:rPr>
          <w:lang w:eastAsia="zh-CN"/>
        </w:rPr>
      </w:pPr>
      <w:r>
        <w:rPr>
          <w:rFonts w:hint="eastAsia"/>
          <w:lang w:val="en-US" w:eastAsia="zh-CN"/>
        </w:rPr>
        <w:t>国际标准化组织</w:t>
      </w:r>
      <w:r>
        <w:rPr>
          <w:lang w:val="en-US" w:eastAsia="zh-CN"/>
        </w:rPr>
        <w:t>(</w:t>
      </w:r>
      <w:r>
        <w:rPr>
          <w:rFonts w:hint="eastAsia"/>
          <w:lang w:val="en-US" w:eastAsia="zh-CN"/>
        </w:rPr>
        <w:t>ISO</w:t>
      </w:r>
      <w:r>
        <w:rPr>
          <w:lang w:val="en-US" w:eastAsia="zh-CN"/>
        </w:rPr>
        <w:t>)</w:t>
      </w:r>
      <w:r>
        <w:rPr>
          <w:rFonts w:hint="eastAsia"/>
          <w:lang w:val="en-US" w:eastAsia="zh-CN"/>
        </w:rPr>
        <w:t>和国际电工委员会</w:t>
      </w:r>
      <w:r>
        <w:rPr>
          <w:lang w:val="en-US" w:eastAsia="zh-CN"/>
        </w:rPr>
        <w:t>(</w:t>
      </w:r>
      <w:r>
        <w:rPr>
          <w:rFonts w:hint="eastAsia"/>
          <w:lang w:val="en-US" w:eastAsia="zh-CN"/>
        </w:rPr>
        <w:t>IEC</w:t>
      </w:r>
      <w:r>
        <w:rPr>
          <w:lang w:val="en-US" w:eastAsia="zh-CN"/>
        </w:rPr>
        <w:t>)</w:t>
      </w:r>
      <w:r>
        <w:rPr>
          <w:rFonts w:hint="eastAsia"/>
          <w:lang w:val="en-US" w:eastAsia="zh-CN"/>
        </w:rPr>
        <w:t>在以下地址维护用于标准化工作的术语数据库：</w:t>
      </w:r>
    </w:p>
    <w:p w14:paraId="4FB53380" w14:textId="77777777" w:rsidR="00DD29A1" w:rsidRDefault="006C2CF1">
      <w:pPr>
        <w:jc w:val="left"/>
      </w:pPr>
      <w:r>
        <w:rPr>
          <w:rFonts w:eastAsia="Cambria" w:cs="Cambria"/>
          <w:color w:val="231F20"/>
          <w:lang w:val="en-US" w:eastAsia="zh-CN" w:bidi="ar"/>
        </w:rPr>
        <w:t xml:space="preserve">— ISO Online browsing platform: available at </w:t>
      </w:r>
      <w:r>
        <w:rPr>
          <w:rFonts w:eastAsia="Cambria" w:cs="Cambria"/>
          <w:color w:val="053CF5"/>
          <w:lang w:val="en-US" w:eastAsia="zh-CN" w:bidi="ar"/>
        </w:rPr>
        <w:t xml:space="preserve">https://www.iso.org/obp </w:t>
      </w:r>
    </w:p>
    <w:p w14:paraId="75859C86" w14:textId="77777777" w:rsidR="00DD29A1" w:rsidRDefault="006C2CF1">
      <w:pPr>
        <w:pStyle w:val="af2"/>
        <w:keepNext/>
        <w:tabs>
          <w:tab w:val="clear" w:pos="403"/>
        </w:tabs>
        <w:ind w:left="0"/>
        <w:rPr>
          <w:color w:val="0000FF"/>
          <w:u w:val="single"/>
          <w:lang w:eastAsia="fr-FR"/>
        </w:rPr>
      </w:pPr>
      <w:r>
        <w:rPr>
          <w:rFonts w:eastAsia="Cambria" w:cs="Cambria"/>
          <w:color w:val="231F20"/>
          <w:lang w:val="en-US" w:eastAsia="zh-CN" w:bidi="ar"/>
        </w:rPr>
        <w:t xml:space="preserve">— IEC Electropedia: available at </w:t>
      </w:r>
      <w:r>
        <w:rPr>
          <w:rFonts w:eastAsia="Cambria" w:cs="Cambria"/>
          <w:color w:val="053CF5"/>
          <w:lang w:val="en-US" w:eastAsia="zh-CN" w:bidi="ar"/>
        </w:rPr>
        <w:t>http://www.electropedia.org/</w:t>
      </w:r>
    </w:p>
    <w:p w14:paraId="21D2B785" w14:textId="77777777" w:rsidR="00DD29A1" w:rsidRDefault="006C2CF1">
      <w:pPr>
        <w:pStyle w:val="1"/>
      </w:pPr>
      <w:r>
        <w:rPr>
          <w:rFonts w:eastAsia="宋体" w:hint="eastAsia"/>
          <w:lang w:val="en-US" w:eastAsia="zh-CN"/>
        </w:rPr>
        <w:t>原理</w:t>
      </w:r>
    </w:p>
    <w:p w14:paraId="2BD72017" w14:textId="77777777" w:rsidR="00DD29A1" w:rsidRDefault="006C2CF1">
      <w:pPr>
        <w:pStyle w:val="aa"/>
        <w:ind w:firstLineChars="200" w:firstLine="440"/>
        <w:rPr>
          <w:lang w:eastAsia="zh-CN"/>
        </w:rPr>
      </w:pPr>
      <w:r>
        <w:rPr>
          <w:rFonts w:cs="Cambria" w:hint="eastAsia"/>
        </w:rPr>
        <w:t>脂肪烷基三甲基氯化铵在气相色谱仪的蒸发室中热分解，通过热分解产物的同系物分布确定脂肪烷基二甲胺的平均相对分子质量。脂肪烷基三甲基氯化铵的平均相对分子质量是通过将氯甲烷（</w:t>
      </w:r>
      <w:r>
        <w:rPr>
          <w:rFonts w:cs="Cambria" w:hint="eastAsia"/>
        </w:rPr>
        <w:t>CH3Cl</w:t>
      </w:r>
      <w:r>
        <w:rPr>
          <w:rFonts w:cs="Cambria" w:hint="eastAsia"/>
        </w:rPr>
        <w:t>）的分子质量与脂肪烷基二甲胺的平均相对质量相加来计算的</w:t>
      </w:r>
      <w:r>
        <w:rPr>
          <w:rFonts w:cs="Cambria" w:hint="eastAsia"/>
          <w:lang w:eastAsia="zh-CN"/>
        </w:rPr>
        <w:t>。</w:t>
      </w:r>
    </w:p>
    <w:p w14:paraId="76F6E3B9" w14:textId="77777777" w:rsidR="00DD29A1" w:rsidRDefault="006C2CF1">
      <w:pPr>
        <w:pStyle w:val="1"/>
      </w:pPr>
      <w:r>
        <w:rPr>
          <w:rFonts w:eastAsia="宋体" w:hint="eastAsia"/>
          <w:lang w:val="en-US" w:eastAsia="zh-CN"/>
        </w:rPr>
        <w:t>试剂和材料</w:t>
      </w:r>
    </w:p>
    <w:p w14:paraId="788B3A72" w14:textId="77777777" w:rsidR="00DD29A1" w:rsidRDefault="006C2CF1">
      <w:pPr>
        <w:spacing w:after="240"/>
        <w:rPr>
          <w:rFonts w:eastAsia="宋体" w:cs="Cambria"/>
          <w:lang w:eastAsia="zh-CN"/>
        </w:rPr>
      </w:pPr>
      <w:r>
        <w:rPr>
          <w:rFonts w:eastAsia="宋体" w:hAnsi="宋体"/>
        </w:rPr>
        <w:t>在分析中仅使用确认为分析纯的试剂和</w:t>
      </w:r>
      <w:r>
        <w:rPr>
          <w:rFonts w:eastAsia="宋体" w:hAnsi="宋体" w:hint="eastAsia"/>
        </w:rPr>
        <w:t>3696</w:t>
      </w:r>
      <w:r>
        <w:rPr>
          <w:rFonts w:eastAsia="宋体" w:hAnsi="宋体"/>
        </w:rPr>
        <w:t>中规定</w:t>
      </w:r>
      <w:r>
        <w:rPr>
          <w:rFonts w:eastAsia="宋体" w:hAnsi="宋体" w:hint="eastAsia"/>
        </w:rPr>
        <w:t>的</w:t>
      </w:r>
      <w:r>
        <w:rPr>
          <w:rFonts w:eastAsia="宋体" w:hAnsi="宋体"/>
        </w:rPr>
        <w:t>三级水</w:t>
      </w:r>
      <w:r>
        <w:rPr>
          <w:rFonts w:eastAsia="宋体" w:cs="Cambria" w:hint="eastAsia"/>
          <w:lang w:eastAsia="zh-CN"/>
        </w:rPr>
        <w:t>。</w:t>
      </w:r>
    </w:p>
    <w:p w14:paraId="104E2C91" w14:textId="77777777" w:rsidR="00DD29A1" w:rsidRDefault="006C2CF1">
      <w:pPr>
        <w:spacing w:after="240"/>
        <w:rPr>
          <w:rFonts w:cs="Cambria"/>
          <w:lang w:eastAsia="zh-CN"/>
        </w:rPr>
      </w:pPr>
      <w:r>
        <w:rPr>
          <w:rFonts w:cs="Cambria"/>
        </w:rPr>
        <w:t>5.1 95%</w:t>
      </w:r>
      <w:r>
        <w:rPr>
          <w:rFonts w:cs="Cambria" w:hint="eastAsia"/>
          <w:lang w:val="en-US" w:eastAsia="zh-CN"/>
        </w:rPr>
        <w:t>乙醇</w:t>
      </w:r>
      <w:r>
        <w:rPr>
          <w:rFonts w:cs="Cambria" w:hint="eastAsia"/>
          <w:lang w:eastAsia="zh-CN"/>
        </w:rPr>
        <w:t>。</w:t>
      </w:r>
    </w:p>
    <w:p w14:paraId="2210619D" w14:textId="77777777" w:rsidR="00DD29A1" w:rsidRDefault="006C2CF1">
      <w:pPr>
        <w:spacing w:after="240"/>
        <w:rPr>
          <w:rFonts w:cs="Cambria"/>
        </w:rPr>
      </w:pPr>
      <w:r>
        <w:rPr>
          <w:rFonts w:cs="Cambria"/>
        </w:rPr>
        <w:t xml:space="preserve">5.2 </w:t>
      </w:r>
      <w:r>
        <w:rPr>
          <w:rFonts w:cs="Cambria" w:hint="eastAsia"/>
        </w:rPr>
        <w:t>脂肪烷基三甲基氯化铵</w:t>
      </w:r>
      <w:r>
        <w:rPr>
          <w:rFonts w:cs="Cambria" w:hint="eastAsia"/>
          <w:lang w:val="en-US" w:eastAsia="zh-CN"/>
        </w:rPr>
        <w:t>参考样品，如十二烷基三甲基氯化铵、十四烷基三甲基氯化铵、十六烷基三甲基氯化铵、十八烷基三甲基氯化铵。</w:t>
      </w:r>
    </w:p>
    <w:p w14:paraId="697D7A95" w14:textId="77777777" w:rsidR="00DD29A1" w:rsidRDefault="006C2CF1">
      <w:pPr>
        <w:spacing w:after="240"/>
        <w:rPr>
          <w:rFonts w:cs="Cambria"/>
          <w:lang w:val="en-US" w:eastAsia="zh-CN"/>
        </w:rPr>
      </w:pPr>
      <w:r>
        <w:rPr>
          <w:rFonts w:cs="Cambria"/>
        </w:rPr>
        <w:t xml:space="preserve">5.3 </w:t>
      </w:r>
      <w:r>
        <w:rPr>
          <w:rFonts w:cs="Cambria" w:hint="eastAsia"/>
          <w:lang w:val="en-US" w:eastAsia="zh-CN"/>
        </w:rPr>
        <w:t>载气</w:t>
      </w:r>
      <w:r>
        <w:rPr>
          <w:rFonts w:cs="Cambria" w:hint="eastAsia"/>
          <w:lang w:eastAsia="zh-CN"/>
        </w:rPr>
        <w:t>：</w:t>
      </w:r>
      <w:r>
        <w:rPr>
          <w:rFonts w:cs="Cambria" w:hint="eastAsia"/>
          <w:lang w:val="en-US" w:eastAsia="zh-CN"/>
        </w:rPr>
        <w:t>高纯氮气。</w:t>
      </w:r>
    </w:p>
    <w:p w14:paraId="0DD488F6" w14:textId="77777777" w:rsidR="00DD29A1" w:rsidRDefault="006C2CF1">
      <w:pPr>
        <w:pStyle w:val="1"/>
        <w:rPr>
          <w:rFonts w:eastAsia="宋体" w:cs="Cambria"/>
          <w:color w:val="231F20"/>
          <w:lang w:eastAsia="en-US"/>
        </w:rPr>
      </w:pPr>
      <w:r>
        <w:rPr>
          <w:rFonts w:eastAsia="宋体" w:cs="Cambria" w:hint="eastAsia"/>
          <w:color w:val="231F20"/>
          <w:lang w:val="en-US" w:eastAsia="zh-CN"/>
        </w:rPr>
        <w:t>仪器</w:t>
      </w:r>
    </w:p>
    <w:p w14:paraId="2D970F3F" w14:textId="77777777" w:rsidR="00DD29A1" w:rsidRDefault="006C2CF1">
      <w:pPr>
        <w:spacing w:after="240"/>
        <w:rPr>
          <w:rFonts w:cs="Cambria"/>
          <w:lang w:val="en-US" w:eastAsia="zh-CN"/>
        </w:rPr>
      </w:pPr>
      <w:r>
        <w:rPr>
          <w:rFonts w:cs="Cambria" w:hint="eastAsia"/>
          <w:lang w:val="en-US" w:eastAsia="zh-CN"/>
        </w:rPr>
        <w:t>常规实验仪器及</w:t>
      </w:r>
    </w:p>
    <w:p w14:paraId="1730C17A" w14:textId="77777777" w:rsidR="00DD29A1" w:rsidRDefault="006C2CF1">
      <w:pPr>
        <w:spacing w:after="240"/>
        <w:rPr>
          <w:rFonts w:cs="Cambria"/>
        </w:rPr>
      </w:pPr>
      <w:r>
        <w:rPr>
          <w:rFonts w:cs="Cambria"/>
        </w:rPr>
        <w:t xml:space="preserve">6.1 </w:t>
      </w:r>
      <w:r>
        <w:rPr>
          <w:rFonts w:cs="Cambria" w:hint="eastAsia"/>
          <w:lang w:val="en-US" w:eastAsia="zh-CN"/>
        </w:rPr>
        <w:t>气相色谱仪</w:t>
      </w:r>
      <w:r>
        <w:rPr>
          <w:rFonts w:cs="Cambria"/>
        </w:rPr>
        <w:t>.</w:t>
      </w:r>
    </w:p>
    <w:p w14:paraId="447B13C7" w14:textId="77777777" w:rsidR="00DD29A1" w:rsidRDefault="006C2CF1">
      <w:pPr>
        <w:spacing w:after="240"/>
        <w:rPr>
          <w:rFonts w:cs="Cambria"/>
        </w:rPr>
      </w:pPr>
      <w:r>
        <w:rPr>
          <w:rFonts w:cs="Cambria"/>
        </w:rPr>
        <w:t xml:space="preserve">6.2 </w:t>
      </w:r>
      <w:r>
        <w:rPr>
          <w:rFonts w:cs="Cambria" w:hint="eastAsia"/>
          <w:lang w:val="en-US" w:eastAsia="zh-CN"/>
        </w:rPr>
        <w:t>气相色谱柱</w:t>
      </w:r>
      <w:r>
        <w:rPr>
          <w:rFonts w:cs="Cambria"/>
        </w:rPr>
        <w:t xml:space="preserve">: </w:t>
      </w:r>
      <w:r>
        <w:rPr>
          <w:rFonts w:cs="Cambria" w:hint="eastAsia"/>
        </w:rPr>
        <w:t>填</w:t>
      </w:r>
      <w:r>
        <w:rPr>
          <w:rFonts w:cs="Cambria" w:hint="eastAsia"/>
          <w:lang w:val="en-US" w:eastAsia="zh-CN"/>
        </w:rPr>
        <w:t>充</w:t>
      </w:r>
      <w:r>
        <w:rPr>
          <w:rFonts w:cs="Cambria" w:hint="eastAsia"/>
        </w:rPr>
        <w:t>柱，柱管由惰性材料（如玻璃或不锈钢）制成，内径为</w:t>
      </w:r>
      <w:r>
        <w:rPr>
          <w:rFonts w:cs="Cambria" w:hint="eastAsia"/>
        </w:rPr>
        <w:t>2mm~4mm</w:t>
      </w:r>
      <w:r>
        <w:rPr>
          <w:rFonts w:cs="Cambria" w:hint="eastAsia"/>
        </w:rPr>
        <w:t>，长度为</w:t>
      </w:r>
      <w:r>
        <w:rPr>
          <w:rFonts w:cs="Cambria" w:hint="eastAsia"/>
        </w:rPr>
        <w:t>0.5mm~1.5m</w:t>
      </w:r>
      <w:r>
        <w:rPr>
          <w:rFonts w:cs="Cambria" w:hint="eastAsia"/>
        </w:rPr>
        <w:t>；载体为</w:t>
      </w:r>
      <w:r>
        <w:rPr>
          <w:rFonts w:cs="Cambria" w:hint="eastAsia"/>
        </w:rPr>
        <w:t>Chomosorb WAWDMCS</w:t>
      </w:r>
      <w:r>
        <w:rPr>
          <w:rFonts w:cs="Cambria" w:hint="eastAsia"/>
        </w:rPr>
        <w:t>或</w:t>
      </w:r>
      <w:r>
        <w:rPr>
          <w:rFonts w:cs="Cambria" w:hint="eastAsia"/>
        </w:rPr>
        <w:t>405</w:t>
      </w:r>
      <w:r>
        <w:rPr>
          <w:rFonts w:cs="Cambria" w:hint="eastAsia"/>
        </w:rPr>
        <w:t>硅烷化白色载体，粒径</w:t>
      </w:r>
      <w:r>
        <w:rPr>
          <w:rFonts w:cs="Cambria" w:hint="eastAsia"/>
        </w:rPr>
        <w:t>150</w:t>
      </w:r>
      <w:r>
        <w:rPr>
          <w:rFonts w:cs="Cambria" w:hint="eastAsia"/>
        </w:rPr>
        <w:t>μ</w:t>
      </w:r>
      <w:r>
        <w:rPr>
          <w:rFonts w:cs="Cambria" w:hint="eastAsia"/>
        </w:rPr>
        <w:t>m~180</w:t>
      </w:r>
      <w:r>
        <w:rPr>
          <w:rFonts w:cs="Cambria" w:hint="eastAsia"/>
        </w:rPr>
        <w:t>μ</w:t>
      </w:r>
      <w:r>
        <w:rPr>
          <w:rFonts w:cs="Cambria" w:hint="eastAsia"/>
        </w:rPr>
        <w:t>m</w:t>
      </w:r>
      <w:r>
        <w:rPr>
          <w:rFonts w:cs="Cambria" w:hint="eastAsia"/>
        </w:rPr>
        <w:t>，涂有</w:t>
      </w:r>
      <w:r>
        <w:rPr>
          <w:rFonts w:cs="Cambria" w:hint="eastAsia"/>
        </w:rPr>
        <w:t>50%~10%</w:t>
      </w:r>
      <w:r>
        <w:rPr>
          <w:rFonts w:cs="Cambria" w:hint="eastAsia"/>
        </w:rPr>
        <w:t>氢氧化钾和</w:t>
      </w:r>
      <w:r>
        <w:rPr>
          <w:rFonts w:cs="Cambria" w:hint="eastAsia"/>
        </w:rPr>
        <w:t>5%~10%apiezon</w:t>
      </w:r>
      <w:r>
        <w:rPr>
          <w:rFonts w:cs="Cambria" w:hint="eastAsia"/>
        </w:rPr>
        <w:t>润滑脂</w:t>
      </w:r>
      <w:r>
        <w:rPr>
          <w:rFonts w:cs="Cambria" w:hint="eastAsia"/>
        </w:rPr>
        <w:t>L</w:t>
      </w:r>
      <w:r>
        <w:rPr>
          <w:rFonts w:cs="Cambria" w:hint="eastAsia"/>
        </w:rPr>
        <w:t>（</w:t>
      </w:r>
      <w:r>
        <w:rPr>
          <w:rFonts w:cs="Cambria" w:hint="eastAsia"/>
        </w:rPr>
        <w:t>apiezon L</w:t>
      </w:r>
      <w:r>
        <w:rPr>
          <w:rFonts w:cs="Cambria" w:hint="eastAsia"/>
        </w:rPr>
        <w:t>），实验前需要预老化，可以很好地分离不同碳链脂肪族烷基二甲胺的色谱峰；或毛细管柱</w:t>
      </w:r>
      <w:r>
        <w:rPr>
          <w:rFonts w:cs="Cambria" w:hint="eastAsia"/>
          <w:lang w:eastAsia="zh-CN"/>
        </w:rPr>
        <w:t>，</w:t>
      </w:r>
      <w:r>
        <w:rPr>
          <w:rFonts w:cs="Cambria" w:hint="eastAsia"/>
        </w:rPr>
        <w:t>HP-5</w:t>
      </w:r>
      <w:r>
        <w:rPr>
          <w:rFonts w:cs="Cambria" w:hint="eastAsia"/>
        </w:rPr>
        <w:t>或性能相当的毛细管柱</w:t>
      </w:r>
      <w:r>
        <w:rPr>
          <w:rFonts w:cs="Cambria"/>
        </w:rPr>
        <w:t>.</w:t>
      </w:r>
    </w:p>
    <w:p w14:paraId="40B28472" w14:textId="77777777" w:rsidR="00DD29A1" w:rsidRDefault="006C2CF1">
      <w:pPr>
        <w:spacing w:after="240"/>
        <w:rPr>
          <w:rFonts w:cs="Cambria"/>
          <w:lang w:eastAsia="zh-CN"/>
        </w:rPr>
      </w:pPr>
      <w:r>
        <w:rPr>
          <w:rFonts w:cs="Cambria"/>
        </w:rPr>
        <w:t xml:space="preserve">6.3 </w:t>
      </w:r>
      <w:r>
        <w:rPr>
          <w:rFonts w:cs="Cambria" w:hint="eastAsia"/>
          <w:lang w:val="en-US" w:eastAsia="zh-CN"/>
        </w:rPr>
        <w:t>气化室</w:t>
      </w:r>
      <w:r>
        <w:rPr>
          <w:rFonts w:cs="Cambria"/>
        </w:rPr>
        <w:t xml:space="preserve">, </w:t>
      </w:r>
      <w:r>
        <w:rPr>
          <w:rFonts w:cs="Cambria" w:hint="eastAsia"/>
          <w:lang w:val="en-US" w:eastAsia="zh-CN"/>
        </w:rPr>
        <w:t>必要时填充以硅烷化的玻璃微珠担体</w:t>
      </w:r>
      <w:r>
        <w:rPr>
          <w:rFonts w:cs="Cambria"/>
        </w:rPr>
        <w:t>(150μm~180μm)</w:t>
      </w:r>
      <w:r>
        <w:rPr>
          <w:rFonts w:cs="Cambria" w:hint="eastAsia"/>
          <w:lang w:eastAsia="zh-CN"/>
        </w:rPr>
        <w:t>。</w:t>
      </w:r>
    </w:p>
    <w:p w14:paraId="1B8FEA60" w14:textId="77777777" w:rsidR="00DD29A1" w:rsidRDefault="006C2CF1">
      <w:pPr>
        <w:spacing w:after="240"/>
        <w:rPr>
          <w:rFonts w:cs="Cambria"/>
        </w:rPr>
      </w:pPr>
      <w:r>
        <w:rPr>
          <w:rFonts w:cs="Cambria" w:hint="eastAsia"/>
          <w:lang w:val="en-US" w:eastAsia="zh-CN"/>
        </w:rPr>
        <w:t>注</w:t>
      </w:r>
      <w:r>
        <w:rPr>
          <w:rFonts w:cs="Cambria" w:hint="eastAsia"/>
        </w:rPr>
        <w:t xml:space="preserve">  </w:t>
      </w:r>
      <w:r>
        <w:rPr>
          <w:rFonts w:cs="Cambria" w:hint="eastAsia"/>
          <w:lang w:val="en-US" w:eastAsia="zh-CN"/>
        </w:rPr>
        <w:t>当采用毛细管柱时，可不使用硅烷化的玻璃微珠担体</w:t>
      </w:r>
      <w:r>
        <w:rPr>
          <w:rFonts w:cs="Cambria" w:hint="eastAsia"/>
          <w:lang w:eastAsia="zh-CN"/>
        </w:rPr>
        <w:t>。</w:t>
      </w:r>
      <w:r>
        <w:rPr>
          <w:rFonts w:cs="Cambria"/>
        </w:rPr>
        <w:t xml:space="preserve">  </w:t>
      </w:r>
    </w:p>
    <w:p w14:paraId="7B1F19FF" w14:textId="77777777" w:rsidR="00DD29A1" w:rsidRDefault="006C2CF1">
      <w:pPr>
        <w:spacing w:after="240"/>
        <w:rPr>
          <w:rFonts w:cs="Cambria"/>
          <w:lang w:eastAsia="zh-CN"/>
        </w:rPr>
      </w:pPr>
      <w:r>
        <w:rPr>
          <w:rFonts w:cs="Cambria"/>
        </w:rPr>
        <w:t xml:space="preserve">6.4 </w:t>
      </w:r>
      <w:r>
        <w:rPr>
          <w:rFonts w:cs="Cambria" w:hint="eastAsia"/>
          <w:lang w:val="en-US" w:eastAsia="zh-CN"/>
        </w:rPr>
        <w:t>色谱工作站</w:t>
      </w:r>
      <w:r>
        <w:rPr>
          <w:rFonts w:cs="Cambria" w:hint="eastAsia"/>
          <w:lang w:eastAsia="zh-CN"/>
        </w:rPr>
        <w:t>。</w:t>
      </w:r>
    </w:p>
    <w:p w14:paraId="73354385" w14:textId="77777777" w:rsidR="00DD29A1" w:rsidRDefault="006C2CF1">
      <w:pPr>
        <w:spacing w:after="240"/>
        <w:rPr>
          <w:rFonts w:cs="Cambria"/>
          <w:lang w:eastAsia="zh-CN"/>
        </w:rPr>
      </w:pPr>
      <w:r>
        <w:rPr>
          <w:rFonts w:cs="Cambria"/>
        </w:rPr>
        <w:t xml:space="preserve">6.5 </w:t>
      </w:r>
      <w:r>
        <w:rPr>
          <w:rFonts w:cs="Cambria" w:hint="eastAsia"/>
          <w:lang w:val="en-US" w:eastAsia="zh-CN"/>
        </w:rPr>
        <w:t>注射器，</w:t>
      </w:r>
      <w:r>
        <w:rPr>
          <w:rFonts w:cs="Cambria"/>
        </w:rPr>
        <w:t xml:space="preserve"> 5μL or 10μL</w:t>
      </w:r>
      <w:r>
        <w:rPr>
          <w:rFonts w:cs="Cambria" w:hint="eastAsia"/>
          <w:lang w:eastAsia="zh-CN"/>
        </w:rPr>
        <w:t>。</w:t>
      </w:r>
    </w:p>
    <w:p w14:paraId="5D6C3722" w14:textId="77777777" w:rsidR="00DD29A1" w:rsidRDefault="006C2CF1">
      <w:pPr>
        <w:pStyle w:val="1"/>
        <w:rPr>
          <w:rFonts w:eastAsia="宋体" w:cs="Cambria"/>
          <w:color w:val="231F20"/>
          <w:lang w:eastAsia="en-US"/>
        </w:rPr>
      </w:pPr>
      <w:r>
        <w:rPr>
          <w:rFonts w:eastAsia="宋体" w:cs="Cambria" w:hint="eastAsia"/>
          <w:color w:val="231F20"/>
          <w:lang w:val="en-US" w:eastAsia="zh-CN"/>
        </w:rPr>
        <w:t>样品的制备</w:t>
      </w:r>
    </w:p>
    <w:p w14:paraId="1B8BE9E5" w14:textId="77777777" w:rsidR="00DD29A1" w:rsidRDefault="006C2CF1">
      <w:pPr>
        <w:spacing w:after="240" w:line="240" w:lineRule="exact"/>
        <w:rPr>
          <w:rFonts w:eastAsia="宋体" w:cs="Cambria"/>
          <w:b/>
          <w:bCs/>
          <w:color w:val="231F20"/>
          <w:lang w:val="en-US" w:eastAsia="zh-CN"/>
        </w:rPr>
      </w:pPr>
      <w:r>
        <w:rPr>
          <w:rFonts w:eastAsia="宋体" w:cs="Cambria"/>
          <w:b/>
          <w:bCs/>
          <w:color w:val="231F20"/>
        </w:rPr>
        <w:t xml:space="preserve">7.1 </w:t>
      </w:r>
      <w:r>
        <w:rPr>
          <w:rFonts w:eastAsia="宋体" w:cs="Cambria" w:hint="eastAsia"/>
          <w:b/>
          <w:bCs/>
          <w:color w:val="231F20"/>
          <w:lang w:val="en-US" w:eastAsia="zh-CN"/>
        </w:rPr>
        <w:t>测试样品的准备</w:t>
      </w:r>
    </w:p>
    <w:p w14:paraId="6198C829" w14:textId="77777777" w:rsidR="00DD29A1" w:rsidRDefault="006C2CF1">
      <w:pPr>
        <w:spacing w:after="240" w:line="240" w:lineRule="exact"/>
        <w:rPr>
          <w:rFonts w:eastAsia="宋体" w:cs="Cambria"/>
          <w:color w:val="231F20"/>
        </w:rPr>
      </w:pPr>
      <w:r>
        <w:rPr>
          <w:rFonts w:eastAsia="宋体" w:cs="Cambria" w:hint="eastAsia"/>
          <w:color w:val="231F20"/>
          <w:lang w:val="en-US" w:eastAsia="zh-CN"/>
        </w:rPr>
        <w:t>依据</w:t>
      </w:r>
      <w:r>
        <w:rPr>
          <w:rFonts w:eastAsia="宋体" w:cs="Cambria"/>
          <w:color w:val="231F20"/>
        </w:rPr>
        <w:t xml:space="preserve"> ISO</w:t>
      </w:r>
      <w:r>
        <w:rPr>
          <w:rFonts w:eastAsia="宋体" w:cs="Cambria"/>
          <w:color w:val="231F20"/>
        </w:rPr>
        <w:t xml:space="preserve"> 607</w:t>
      </w:r>
      <w:r>
        <w:rPr>
          <w:rFonts w:eastAsia="宋体" w:cs="Cambria" w:hint="eastAsia"/>
          <w:color w:val="231F20"/>
          <w:lang w:val="en-US" w:eastAsia="zh-CN"/>
        </w:rPr>
        <w:t>准备及储存测试样品</w:t>
      </w:r>
      <w:r>
        <w:rPr>
          <w:rFonts w:eastAsia="宋体" w:cs="Cambria"/>
          <w:color w:val="231F20"/>
        </w:rPr>
        <w:t>.</w:t>
      </w:r>
    </w:p>
    <w:p w14:paraId="3D43C228" w14:textId="77777777" w:rsidR="00DD29A1" w:rsidRDefault="006C2CF1">
      <w:pPr>
        <w:spacing w:after="240" w:line="240" w:lineRule="exact"/>
        <w:rPr>
          <w:rFonts w:eastAsia="宋体" w:cs="Cambria"/>
          <w:b/>
          <w:bCs/>
          <w:color w:val="231F20"/>
          <w:lang w:val="en-US" w:eastAsia="zh-CN"/>
        </w:rPr>
      </w:pPr>
      <w:r>
        <w:rPr>
          <w:rFonts w:eastAsia="宋体" w:cs="Cambria"/>
          <w:b/>
          <w:bCs/>
          <w:color w:val="231F20"/>
        </w:rPr>
        <w:t xml:space="preserve">7.2 </w:t>
      </w:r>
      <w:r>
        <w:rPr>
          <w:rFonts w:eastAsia="宋体" w:cs="Cambria" w:hint="eastAsia"/>
          <w:b/>
          <w:bCs/>
          <w:color w:val="231F20"/>
          <w:lang w:val="en-US" w:eastAsia="zh-CN"/>
        </w:rPr>
        <w:t>测试溶液的制备</w:t>
      </w:r>
    </w:p>
    <w:p w14:paraId="6B7C5CA2" w14:textId="77777777" w:rsidR="00DD29A1" w:rsidRDefault="006C2CF1">
      <w:pPr>
        <w:spacing w:after="240"/>
        <w:rPr>
          <w:rFonts w:cs="Cambria"/>
        </w:rPr>
      </w:pPr>
      <w:r>
        <w:rPr>
          <w:rFonts w:cs="Cambria" w:hint="eastAsia"/>
          <w:lang w:val="en-US" w:eastAsia="zh-CN"/>
        </w:rPr>
        <w:t>称取样品约</w:t>
      </w:r>
      <w:r>
        <w:rPr>
          <w:rFonts w:cs="Cambria" w:hint="eastAsia"/>
          <w:lang w:val="en-US" w:eastAsia="zh-CN"/>
        </w:rPr>
        <w:t>0.5g</w:t>
      </w:r>
      <w:r>
        <w:rPr>
          <w:rFonts w:cs="Cambria" w:hint="eastAsia"/>
          <w:lang w:val="en-US" w:eastAsia="zh-CN"/>
        </w:rPr>
        <w:t>，加少许水或乙醇</w:t>
      </w:r>
      <w:r>
        <w:rPr>
          <w:rFonts w:cs="Cambria"/>
        </w:rPr>
        <w:t xml:space="preserve"> (5.1) </w:t>
      </w:r>
      <w:r>
        <w:rPr>
          <w:rFonts w:cs="Cambria" w:hint="eastAsia"/>
          <w:lang w:val="en-US" w:eastAsia="zh-CN"/>
        </w:rPr>
        <w:t>溶解，便于用注射器吸样。</w:t>
      </w:r>
    </w:p>
    <w:p w14:paraId="1CFAA678" w14:textId="77777777" w:rsidR="00DD29A1" w:rsidRDefault="006C2CF1">
      <w:pPr>
        <w:spacing w:after="240"/>
        <w:rPr>
          <w:rFonts w:cs="Cambria"/>
        </w:rPr>
      </w:pPr>
      <w:r>
        <w:rPr>
          <w:rFonts w:cs="Cambria" w:hint="eastAsia"/>
          <w:lang w:val="en-US" w:eastAsia="zh-CN"/>
        </w:rPr>
        <w:t>注</w:t>
      </w:r>
      <w:r>
        <w:rPr>
          <w:rFonts w:cs="Cambria" w:hint="eastAsia"/>
        </w:rPr>
        <w:t xml:space="preserve">  </w:t>
      </w:r>
      <w:r>
        <w:rPr>
          <w:rFonts w:cs="Cambria" w:hint="eastAsia"/>
          <w:lang w:val="en-US" w:eastAsia="zh-CN"/>
        </w:rPr>
        <w:t>可根据检测器灵敏度调整样品称样量。</w:t>
      </w:r>
    </w:p>
    <w:p w14:paraId="56D1078F" w14:textId="77777777" w:rsidR="00DD29A1" w:rsidRDefault="006C2CF1">
      <w:pPr>
        <w:pStyle w:val="1"/>
        <w:rPr>
          <w:rFonts w:eastAsia="宋体" w:cs="Cambria"/>
          <w:color w:val="231F20"/>
          <w:lang w:eastAsia="en-US"/>
        </w:rPr>
      </w:pPr>
      <w:r>
        <w:rPr>
          <w:rFonts w:eastAsia="宋体" w:cs="Cambria" w:hint="eastAsia"/>
          <w:color w:val="231F20"/>
          <w:lang w:val="en-US" w:eastAsia="zh-CN"/>
        </w:rPr>
        <w:t>程序</w:t>
      </w:r>
    </w:p>
    <w:p w14:paraId="2C1BDB1B" w14:textId="77777777" w:rsidR="00DD29A1" w:rsidRDefault="006C2CF1">
      <w:pPr>
        <w:spacing w:after="240" w:line="240" w:lineRule="exact"/>
        <w:rPr>
          <w:rFonts w:cs="Cambria"/>
          <w:b/>
          <w:bCs/>
          <w:lang w:val="en-US" w:eastAsia="zh-CN"/>
        </w:rPr>
      </w:pPr>
      <w:r>
        <w:rPr>
          <w:rFonts w:cs="Cambria"/>
          <w:b/>
          <w:bCs/>
        </w:rPr>
        <w:t xml:space="preserve">8.1 </w:t>
      </w:r>
      <w:r>
        <w:rPr>
          <w:rFonts w:cs="Cambria" w:hint="eastAsia"/>
          <w:b/>
          <w:bCs/>
          <w:lang w:val="en-US" w:eastAsia="zh-CN"/>
        </w:rPr>
        <w:t>仪器条件的设定</w:t>
      </w:r>
    </w:p>
    <w:p w14:paraId="43B172B3" w14:textId="77777777" w:rsidR="00DD29A1" w:rsidRDefault="006C2CF1">
      <w:pPr>
        <w:spacing w:after="240" w:line="240" w:lineRule="exact"/>
        <w:rPr>
          <w:rFonts w:cs="Cambria"/>
        </w:rPr>
      </w:pPr>
      <w:r>
        <w:rPr>
          <w:rFonts w:cs="Cambria"/>
        </w:rPr>
        <w:t xml:space="preserve">8.1.1 </w:t>
      </w:r>
      <w:r>
        <w:rPr>
          <w:rFonts w:eastAsia="宋体" w:cs="Cambria" w:hint="eastAsia"/>
          <w:color w:val="231F20"/>
          <w:lang w:val="en-US" w:eastAsia="zh-CN"/>
        </w:rPr>
        <w:t>气化室温度</w:t>
      </w:r>
      <w:r>
        <w:rPr>
          <w:rFonts w:cs="Cambria"/>
        </w:rPr>
        <w:t>: &gt;300°C.</w:t>
      </w:r>
    </w:p>
    <w:p w14:paraId="098A1958" w14:textId="77777777" w:rsidR="00DD29A1" w:rsidRDefault="006C2CF1">
      <w:pPr>
        <w:spacing w:after="240"/>
        <w:rPr>
          <w:rFonts w:cs="Cambria"/>
          <w:lang w:eastAsia="zh-CN"/>
        </w:rPr>
      </w:pPr>
      <w:r>
        <w:rPr>
          <w:rFonts w:cs="Cambria"/>
        </w:rPr>
        <w:t xml:space="preserve">8.1.2 </w:t>
      </w:r>
      <w:r>
        <w:rPr>
          <w:rFonts w:cs="Cambria" w:hint="eastAsia"/>
          <w:lang w:val="en-US" w:eastAsia="zh-CN"/>
        </w:rPr>
        <w:t>柱温</w:t>
      </w:r>
      <w:r>
        <w:rPr>
          <w:rFonts w:cs="Cambria"/>
        </w:rPr>
        <w:t xml:space="preserve">: </w:t>
      </w:r>
      <w:r>
        <w:rPr>
          <w:rFonts w:cs="Cambria" w:hint="eastAsia"/>
          <w:lang w:val="en-US" w:eastAsia="zh-CN"/>
        </w:rPr>
        <w:t>采用程序升温操作，起始温度</w:t>
      </w:r>
      <w:r>
        <w:rPr>
          <w:rFonts w:cs="Cambria"/>
        </w:rPr>
        <w:t>110</w:t>
      </w:r>
      <w:r>
        <w:rPr>
          <w:rFonts w:cs="Cambria" w:hint="eastAsia"/>
        </w:rPr>
        <w:t xml:space="preserve"> </w:t>
      </w:r>
      <w:r>
        <w:rPr>
          <w:rFonts w:cs="Cambria"/>
        </w:rPr>
        <w:t>°C~130</w:t>
      </w:r>
      <w:r>
        <w:rPr>
          <w:rFonts w:cs="Cambria" w:hint="eastAsia"/>
        </w:rPr>
        <w:t xml:space="preserve"> </w:t>
      </w:r>
      <w:r>
        <w:rPr>
          <w:rFonts w:cs="Cambria"/>
        </w:rPr>
        <w:t xml:space="preserve">°C, </w:t>
      </w:r>
      <w:r>
        <w:rPr>
          <w:rFonts w:cs="Cambria" w:hint="eastAsia"/>
          <w:lang w:val="en-US" w:eastAsia="zh-CN"/>
        </w:rPr>
        <w:t>以</w:t>
      </w:r>
      <w:r>
        <w:rPr>
          <w:rFonts w:cs="Cambria"/>
        </w:rPr>
        <w:t>3</w:t>
      </w:r>
      <w:r>
        <w:rPr>
          <w:rFonts w:cs="Cambria" w:hint="eastAsia"/>
        </w:rPr>
        <w:t xml:space="preserve"> </w:t>
      </w:r>
      <w:r>
        <w:rPr>
          <w:rFonts w:cs="Cambria"/>
        </w:rPr>
        <w:t>°C/min~5</w:t>
      </w:r>
      <w:r>
        <w:rPr>
          <w:rFonts w:cs="Cambria" w:hint="eastAsia"/>
        </w:rPr>
        <w:t xml:space="preserve"> </w:t>
      </w:r>
      <w:r>
        <w:rPr>
          <w:rFonts w:cs="Cambria"/>
        </w:rPr>
        <w:t>°C/min</w:t>
      </w:r>
      <w:r>
        <w:rPr>
          <w:rFonts w:cs="Cambria" w:hint="eastAsia"/>
          <w:lang w:val="en-US" w:eastAsia="zh-CN"/>
        </w:rPr>
        <w:t>升温至终温</w:t>
      </w:r>
      <w:r>
        <w:rPr>
          <w:rFonts w:cs="Cambria"/>
        </w:rPr>
        <w:t>270°C~290</w:t>
      </w:r>
      <w:r>
        <w:rPr>
          <w:rFonts w:cs="Cambria" w:hint="eastAsia"/>
        </w:rPr>
        <w:t xml:space="preserve"> </w:t>
      </w:r>
      <w:r>
        <w:rPr>
          <w:rFonts w:cs="Cambria"/>
        </w:rPr>
        <w:t>°C</w:t>
      </w:r>
      <w:r>
        <w:rPr>
          <w:rFonts w:cs="Cambria" w:hint="eastAsia"/>
          <w:lang w:eastAsia="zh-CN"/>
        </w:rPr>
        <w:t>。</w:t>
      </w:r>
    </w:p>
    <w:p w14:paraId="11FAF00E" w14:textId="77777777" w:rsidR="00DD29A1" w:rsidRDefault="006C2CF1">
      <w:pPr>
        <w:spacing w:after="240" w:line="240" w:lineRule="exact"/>
        <w:rPr>
          <w:rFonts w:cs="Cambria"/>
        </w:rPr>
      </w:pPr>
      <w:r>
        <w:rPr>
          <w:rFonts w:cs="Cambria"/>
        </w:rPr>
        <w:t xml:space="preserve">8.1.3 </w:t>
      </w:r>
      <w:r>
        <w:rPr>
          <w:rFonts w:cs="Cambria" w:hint="eastAsia"/>
          <w:lang w:val="en-US" w:eastAsia="zh-CN"/>
        </w:rPr>
        <w:t>载气流量</w:t>
      </w:r>
      <w:r>
        <w:rPr>
          <w:rFonts w:cs="Cambria"/>
        </w:rPr>
        <w:t>: 30 mL/min ~</w:t>
      </w:r>
      <w:r>
        <w:rPr>
          <w:rFonts w:cs="Cambria" w:hint="eastAsia"/>
        </w:rPr>
        <w:t xml:space="preserve"> </w:t>
      </w:r>
      <w:r>
        <w:rPr>
          <w:rFonts w:cs="Cambria"/>
        </w:rPr>
        <w:t>50</w:t>
      </w:r>
      <w:r>
        <w:rPr>
          <w:rFonts w:cs="Cambria" w:hint="eastAsia"/>
        </w:rPr>
        <w:t xml:space="preserve"> </w:t>
      </w:r>
      <w:r>
        <w:rPr>
          <w:rFonts w:cs="Cambria"/>
        </w:rPr>
        <w:t>mL/min.</w:t>
      </w:r>
    </w:p>
    <w:p w14:paraId="62D80D92" w14:textId="77777777" w:rsidR="00DD29A1" w:rsidRDefault="006C2CF1">
      <w:pPr>
        <w:spacing w:after="240" w:line="240" w:lineRule="exact"/>
        <w:rPr>
          <w:rFonts w:cs="Cambria"/>
        </w:rPr>
      </w:pPr>
      <w:r>
        <w:rPr>
          <w:rFonts w:cs="Cambria"/>
        </w:rPr>
        <w:t xml:space="preserve">8.1.4 </w:t>
      </w:r>
      <w:r>
        <w:rPr>
          <w:rFonts w:cs="Cambria" w:hint="eastAsia"/>
          <w:lang w:val="en-US" w:eastAsia="zh-CN"/>
        </w:rPr>
        <w:t>检测器温度</w:t>
      </w:r>
      <w:r>
        <w:rPr>
          <w:rFonts w:cs="Cambria"/>
        </w:rPr>
        <w:t>: &gt;300°C.</w:t>
      </w:r>
    </w:p>
    <w:p w14:paraId="158D74A1" w14:textId="77777777" w:rsidR="00DD29A1" w:rsidRDefault="006C2CF1">
      <w:pPr>
        <w:spacing w:after="240" w:line="240" w:lineRule="exact"/>
        <w:rPr>
          <w:rFonts w:cs="Cambria"/>
          <w:b/>
          <w:bCs/>
          <w:lang w:val="en-US" w:eastAsia="zh-CN"/>
        </w:rPr>
      </w:pPr>
      <w:r>
        <w:rPr>
          <w:rFonts w:cs="Cambria"/>
          <w:b/>
          <w:bCs/>
        </w:rPr>
        <w:t xml:space="preserve">8.2 </w:t>
      </w:r>
      <w:r>
        <w:rPr>
          <w:rFonts w:cs="Cambria" w:hint="eastAsia"/>
          <w:b/>
          <w:bCs/>
          <w:lang w:val="en-US" w:eastAsia="zh-CN"/>
        </w:rPr>
        <w:t>仪器性能检验</w:t>
      </w:r>
    </w:p>
    <w:p w14:paraId="6EC00F1D" w14:textId="77777777" w:rsidR="00DD29A1" w:rsidRDefault="006C2CF1">
      <w:pPr>
        <w:spacing w:after="240"/>
        <w:ind w:firstLineChars="200" w:firstLine="440"/>
        <w:rPr>
          <w:rFonts w:cs="Cambria"/>
        </w:rPr>
      </w:pPr>
      <w:r>
        <w:rPr>
          <w:rFonts w:eastAsia="宋体" w:cs="Cambria" w:hint="eastAsia"/>
          <w:color w:val="231F20"/>
          <w:lang w:val="en-US" w:eastAsia="zh-CN"/>
        </w:rPr>
        <w:t>分别称取约</w:t>
      </w:r>
      <w:r>
        <w:rPr>
          <w:rFonts w:eastAsia="宋体" w:cs="Cambria"/>
          <w:color w:val="231F20"/>
        </w:rPr>
        <w:t xml:space="preserve"> 0.2 g </w:t>
      </w:r>
      <w:r>
        <w:rPr>
          <w:rFonts w:eastAsia="宋体" w:cs="Cambria" w:hint="eastAsia"/>
          <w:color w:val="231F20"/>
          <w:lang w:val="en-US" w:eastAsia="zh-CN"/>
        </w:rPr>
        <w:t>参考样品</w:t>
      </w:r>
      <w:r>
        <w:rPr>
          <w:rFonts w:cs="Cambria"/>
        </w:rPr>
        <w:t xml:space="preserve"> (5.2)</w:t>
      </w:r>
      <w:r>
        <w:rPr>
          <w:rFonts w:eastAsia="宋体" w:cs="Cambria"/>
          <w:color w:val="231F20"/>
        </w:rPr>
        <w:t xml:space="preserve"> </w:t>
      </w:r>
      <w:r>
        <w:rPr>
          <w:rFonts w:cs="Cambria" w:hint="eastAsia"/>
          <w:lang w:val="en-US" w:eastAsia="zh-CN"/>
        </w:rPr>
        <w:t>加少许水或乙醇</w:t>
      </w:r>
      <w:r>
        <w:rPr>
          <w:rFonts w:cs="Cambria"/>
        </w:rPr>
        <w:t xml:space="preserve"> (5.1) </w:t>
      </w:r>
      <w:r>
        <w:rPr>
          <w:rFonts w:cs="Cambria" w:hint="eastAsia"/>
          <w:lang w:val="en-US" w:eastAsia="zh-CN"/>
        </w:rPr>
        <w:t>溶解。注射一定量参考样品溶液于色谱仪中，使各碳链脂肪烷基二甲胺色谱峰能很好地分离，记录保留时间，以便与试验样品对照。</w:t>
      </w:r>
      <w:r>
        <w:rPr>
          <w:rFonts w:cs="Cambria"/>
        </w:rPr>
        <w:t>.</w:t>
      </w:r>
    </w:p>
    <w:p w14:paraId="5910C870" w14:textId="77777777" w:rsidR="00DD29A1" w:rsidRDefault="006C2CF1">
      <w:pPr>
        <w:spacing w:after="240"/>
        <w:rPr>
          <w:rFonts w:cs="Cambria"/>
        </w:rPr>
      </w:pPr>
      <w:r>
        <w:rPr>
          <w:rFonts w:cs="Cambria" w:hint="eastAsia"/>
          <w:lang w:val="en-US" w:eastAsia="zh-CN"/>
        </w:rPr>
        <w:t>注</w:t>
      </w:r>
      <w:r>
        <w:rPr>
          <w:rFonts w:cs="Cambria" w:hint="eastAsia"/>
        </w:rPr>
        <w:t xml:space="preserve">  </w:t>
      </w:r>
      <w:r>
        <w:rPr>
          <w:rFonts w:cs="Cambria" w:hint="eastAsia"/>
          <w:lang w:val="en-US" w:eastAsia="zh-CN"/>
        </w:rPr>
        <w:t>可根据检测器灵敏度调整参考样品称样量</w:t>
      </w:r>
      <w:r>
        <w:rPr>
          <w:rFonts w:cs="Cambria"/>
        </w:rPr>
        <w:t xml:space="preserve">. </w:t>
      </w:r>
    </w:p>
    <w:p w14:paraId="73E66918" w14:textId="77777777" w:rsidR="00DD29A1" w:rsidRDefault="006C2CF1">
      <w:pPr>
        <w:spacing w:after="240" w:line="240" w:lineRule="exact"/>
        <w:rPr>
          <w:rFonts w:cs="Cambria"/>
          <w:b/>
          <w:bCs/>
          <w:lang w:eastAsia="zh-CN"/>
        </w:rPr>
      </w:pPr>
      <w:r>
        <w:rPr>
          <w:rFonts w:cs="Cambria"/>
          <w:b/>
          <w:bCs/>
        </w:rPr>
        <w:t xml:space="preserve">8.3 </w:t>
      </w:r>
      <w:r>
        <w:rPr>
          <w:rFonts w:cs="Cambria" w:hint="eastAsia"/>
          <w:b/>
          <w:bCs/>
          <w:lang w:val="en-US" w:eastAsia="zh-CN"/>
        </w:rPr>
        <w:t>测定</w:t>
      </w:r>
    </w:p>
    <w:p w14:paraId="695AB9F3" w14:textId="77777777" w:rsidR="00DD29A1" w:rsidRDefault="006C2CF1">
      <w:pPr>
        <w:spacing w:after="240"/>
        <w:rPr>
          <w:rFonts w:cs="Cambria"/>
        </w:rPr>
      </w:pPr>
      <w:r>
        <w:rPr>
          <w:rFonts w:cs="Cambria" w:hint="eastAsia"/>
          <w:lang w:val="en-US" w:eastAsia="zh-CN"/>
        </w:rPr>
        <w:t>用注射器</w:t>
      </w:r>
      <w:r>
        <w:rPr>
          <w:rFonts w:cs="Cambria"/>
        </w:rPr>
        <w:t>(6.5)</w:t>
      </w:r>
      <w:r>
        <w:rPr>
          <w:rFonts w:cs="Cambria" w:hint="eastAsia"/>
          <w:lang w:val="en-US" w:eastAsia="zh-CN"/>
        </w:rPr>
        <w:t>将适量的试样</w:t>
      </w:r>
      <w:r>
        <w:rPr>
          <w:rFonts w:cs="Cambria"/>
        </w:rPr>
        <w:t xml:space="preserve"> (7.2) </w:t>
      </w:r>
      <w:r>
        <w:rPr>
          <w:rFonts w:cs="Cambria" w:hint="eastAsia"/>
          <w:lang w:val="en-US" w:eastAsia="zh-CN"/>
        </w:rPr>
        <w:t>注入色谱仪典型色谱图见图</w:t>
      </w:r>
      <w:r>
        <w:rPr>
          <w:rFonts w:cs="Cambria"/>
        </w:rPr>
        <w:t>1</w:t>
      </w:r>
      <w:r>
        <w:rPr>
          <w:rFonts w:cs="Cambria" w:hint="eastAsia"/>
          <w:lang w:eastAsia="zh-CN"/>
        </w:rPr>
        <w:t>。</w:t>
      </w:r>
    </w:p>
    <w:p w14:paraId="589C7F69" w14:textId="77777777" w:rsidR="00DD29A1" w:rsidRDefault="006C2CF1">
      <w:pPr>
        <w:pStyle w:val="1"/>
        <w:rPr>
          <w:rFonts w:eastAsia="宋体" w:cs="Cambria"/>
          <w:color w:val="231F20"/>
          <w:lang w:eastAsia="en-US"/>
        </w:rPr>
      </w:pPr>
      <w:r>
        <w:rPr>
          <w:rFonts w:eastAsia="宋体" w:cs="Cambria" w:hint="eastAsia"/>
          <w:color w:val="231F20"/>
          <w:lang w:val="en-US" w:eastAsia="zh-CN"/>
        </w:rPr>
        <w:t>色谱图检验</w:t>
      </w:r>
    </w:p>
    <w:p w14:paraId="06D0BAB6" w14:textId="77777777" w:rsidR="00DD29A1" w:rsidRDefault="006C2CF1">
      <w:pPr>
        <w:spacing w:after="240" w:line="240" w:lineRule="exact"/>
        <w:rPr>
          <w:rFonts w:eastAsia="宋体" w:cs="Cambria"/>
          <w:b/>
          <w:bCs/>
          <w:color w:val="231F20"/>
          <w:lang w:eastAsia="zh-CN"/>
        </w:rPr>
      </w:pPr>
      <w:r>
        <w:rPr>
          <w:rFonts w:eastAsia="宋体" w:cs="Cambria"/>
          <w:b/>
          <w:bCs/>
          <w:color w:val="231F20"/>
        </w:rPr>
        <w:t>9</w:t>
      </w:r>
      <w:r>
        <w:rPr>
          <w:rFonts w:eastAsia="宋体" w:cs="Cambria"/>
          <w:b/>
          <w:bCs/>
          <w:color w:val="231F20"/>
        </w:rPr>
        <w:t xml:space="preserve">.1 </w:t>
      </w:r>
      <w:r>
        <w:rPr>
          <w:rFonts w:eastAsia="宋体" w:cs="Cambria" w:hint="eastAsia"/>
          <w:b/>
          <w:bCs/>
          <w:color w:val="231F20"/>
          <w:lang w:val="en-US" w:eastAsia="zh-CN"/>
        </w:rPr>
        <w:t>定性分析</w:t>
      </w:r>
    </w:p>
    <w:p w14:paraId="10978A3F" w14:textId="77777777" w:rsidR="00DD29A1" w:rsidRDefault="006C2CF1">
      <w:pPr>
        <w:spacing w:after="240"/>
        <w:ind w:firstLineChars="200" w:firstLine="440"/>
        <w:rPr>
          <w:rFonts w:cs="Cambria"/>
          <w:lang w:eastAsia="zh-CN"/>
        </w:rPr>
      </w:pPr>
      <w:r>
        <w:rPr>
          <w:rFonts w:cs="Cambria" w:hint="eastAsia"/>
          <w:lang w:val="en-US" w:eastAsia="zh-CN"/>
        </w:rPr>
        <w:t>用试样色谱图与参考样品色谱图对照，鉴别试样组分</w:t>
      </w:r>
      <w:r>
        <w:rPr>
          <w:rFonts w:cs="Cambria" w:hint="eastAsia"/>
          <w:lang w:eastAsia="zh-CN"/>
        </w:rPr>
        <w:t>。</w:t>
      </w:r>
    </w:p>
    <w:p w14:paraId="209F5A38" w14:textId="77777777" w:rsidR="00DD29A1" w:rsidRDefault="006C2CF1">
      <w:pPr>
        <w:spacing w:after="240" w:line="240" w:lineRule="exact"/>
        <w:rPr>
          <w:rFonts w:eastAsia="宋体" w:cs="Cambria"/>
          <w:b/>
          <w:bCs/>
          <w:color w:val="231F20"/>
          <w:lang w:val="en-US" w:eastAsia="zh-CN"/>
        </w:rPr>
      </w:pPr>
      <w:r>
        <w:rPr>
          <w:rFonts w:eastAsia="宋体" w:cs="Cambria"/>
          <w:b/>
          <w:bCs/>
          <w:color w:val="231F20"/>
        </w:rPr>
        <w:t>9</w:t>
      </w:r>
      <w:r>
        <w:rPr>
          <w:rFonts w:eastAsia="宋体" w:cs="Cambria"/>
          <w:b/>
          <w:bCs/>
          <w:color w:val="231F20"/>
        </w:rPr>
        <w:t xml:space="preserve">.2 </w:t>
      </w:r>
      <w:r>
        <w:rPr>
          <w:rFonts w:eastAsia="宋体" w:cs="Cambria" w:hint="eastAsia"/>
          <w:b/>
          <w:bCs/>
          <w:color w:val="231F20"/>
          <w:lang w:val="en-US" w:eastAsia="zh-CN"/>
        </w:rPr>
        <w:t>定量分析</w:t>
      </w:r>
    </w:p>
    <w:p w14:paraId="1C54ED30" w14:textId="77777777" w:rsidR="00DD29A1" w:rsidRDefault="006C2CF1">
      <w:pPr>
        <w:spacing w:after="240"/>
        <w:ind w:firstLineChars="200" w:firstLine="440"/>
        <w:rPr>
          <w:rFonts w:cs="Cambria"/>
        </w:rPr>
      </w:pPr>
      <w:r>
        <w:rPr>
          <w:rFonts w:cs="Cambria" w:hint="eastAsia"/>
          <w:lang w:val="en-US" w:eastAsia="zh-CN"/>
        </w:rPr>
        <w:t>测定各碳链脂肪烷基二甲胺的峰面积，并计算总峰面积</w:t>
      </w:r>
      <w:r>
        <w:rPr>
          <w:rFonts w:cs="Cambria" w:hint="eastAsia"/>
          <w:lang w:val="en-US" w:eastAsia="zh-CN"/>
        </w:rPr>
        <w:t>。</w:t>
      </w:r>
    </w:p>
    <w:p w14:paraId="011C11EC" w14:textId="77777777" w:rsidR="00DD29A1" w:rsidRDefault="006C2CF1">
      <w:pPr>
        <w:pStyle w:val="1"/>
        <w:rPr>
          <w:lang w:eastAsia="en-US"/>
        </w:rPr>
      </w:pPr>
      <w:r>
        <w:rPr>
          <w:rFonts w:eastAsia="宋体" w:hint="eastAsia"/>
          <w:lang w:val="en-US" w:eastAsia="zh-CN"/>
        </w:rPr>
        <w:t>结果表示</w:t>
      </w:r>
    </w:p>
    <w:p w14:paraId="2CE84927" w14:textId="77777777" w:rsidR="00DD29A1" w:rsidRDefault="006C2CF1">
      <w:pPr>
        <w:spacing w:after="240"/>
        <w:rPr>
          <w:rFonts w:cs="Cambria"/>
        </w:rPr>
      </w:pPr>
      <w:r>
        <w:rPr>
          <w:rFonts w:cs="Cambria" w:hint="eastAsia"/>
          <w:lang w:val="en-US" w:eastAsia="zh-CN"/>
        </w:rPr>
        <w:t>脂肪烷基二甲胺的平均相对分子质量按公式</w:t>
      </w:r>
      <w:r>
        <w:rPr>
          <w:rFonts w:cs="Cambria"/>
        </w:rPr>
        <w:t>(1)</w:t>
      </w:r>
      <w:r>
        <w:rPr>
          <w:rFonts w:cs="Cambria" w:hint="eastAsia"/>
          <w:lang w:val="en-US" w:eastAsia="zh-CN"/>
        </w:rPr>
        <w:t>计算</w:t>
      </w:r>
      <w:r>
        <w:rPr>
          <w:rFonts w:cs="Cambria"/>
        </w:rPr>
        <w:t>:</w:t>
      </w:r>
    </w:p>
    <w:p w14:paraId="664B1C68" w14:textId="77777777" w:rsidR="00DD29A1" w:rsidRDefault="006C2CF1">
      <w:pPr>
        <w:jc w:val="center"/>
        <w:rPr>
          <w:rFonts w:eastAsia="宋体" w:cs="Cambria"/>
          <w:color w:val="231F20"/>
        </w:rPr>
      </w:pPr>
      <w:r>
        <w:rPr>
          <w:rFonts w:eastAsia="楷体" w:cs="Cambria"/>
          <w:position w:val="-24"/>
        </w:rPr>
        <w:object w:dxaOrig="3780" w:dyaOrig="624" w14:anchorId="5143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05pt;height:31.15pt" o:ole="">
            <v:imagedata r:id="rId23" o:title=""/>
          </v:shape>
          <o:OLEObject Type="Embed" ProgID="Equation.KSEE3" ShapeID="_x0000_i1025" DrawAspect="Content" ObjectID="_1804397604" r:id="rId24"/>
        </w:object>
      </w:r>
      <w:r>
        <w:rPr>
          <w:rFonts w:eastAsia="楷体" w:cs="Cambria"/>
          <w:position w:val="-24"/>
        </w:rPr>
        <w:t xml:space="preserve">   </w:t>
      </w:r>
    </w:p>
    <w:p w14:paraId="6A8DB2CF" w14:textId="77777777" w:rsidR="00DD29A1" w:rsidRDefault="006C2CF1">
      <w:pPr>
        <w:spacing w:after="240" w:line="240" w:lineRule="exact"/>
        <w:rPr>
          <w:rFonts w:eastAsia="宋体" w:cs="Cambria"/>
          <w:color w:val="231F20"/>
          <w:lang w:val="en-US" w:eastAsia="zh-CN"/>
        </w:rPr>
      </w:pPr>
      <w:r>
        <w:rPr>
          <w:rFonts w:eastAsia="宋体" w:cs="Cambria" w:hint="eastAsia"/>
          <w:color w:val="231F20"/>
          <w:lang w:val="en-US" w:eastAsia="zh-CN"/>
        </w:rPr>
        <w:t>式中</w:t>
      </w:r>
    </w:p>
    <w:p w14:paraId="59119C72" w14:textId="77777777" w:rsidR="00DD29A1" w:rsidRDefault="006C2CF1">
      <w:pPr>
        <w:spacing w:after="240" w:line="240" w:lineRule="exact"/>
        <w:rPr>
          <w:rFonts w:eastAsia="宋体" w:cs="Cambria"/>
          <w:color w:val="231F20"/>
        </w:rPr>
      </w:pPr>
      <w:r>
        <w:rPr>
          <w:rFonts w:eastAsia="宋体" w:cs="Cambria"/>
          <w:i/>
          <w:iCs/>
          <w:color w:val="231F20"/>
        </w:rPr>
        <w:t>A</w:t>
      </w:r>
      <w:r>
        <w:rPr>
          <w:rFonts w:eastAsia="宋体" w:cs="Cambria"/>
          <w:i/>
          <w:iCs/>
          <w:color w:val="231F20"/>
          <w:vertAlign w:val="subscript"/>
        </w:rPr>
        <w:t>i</w:t>
      </w:r>
      <w:r>
        <w:rPr>
          <w:rFonts w:eastAsia="宋体" w:cs="Cambria"/>
          <w:color w:val="231F20"/>
        </w:rPr>
        <w:t xml:space="preserve"> </w:t>
      </w:r>
      <w:r>
        <w:rPr>
          <w:rFonts w:cs="Cambria" w:hint="eastAsia"/>
          <w:lang w:val="en-US" w:eastAsia="zh-CN"/>
        </w:rPr>
        <w:t>各不同碳链脂肪烷基二甲胺的峰面积</w:t>
      </w:r>
      <w:r>
        <w:rPr>
          <w:rFonts w:eastAsia="宋体" w:cs="Cambria" w:hint="eastAsia"/>
          <w:color w:val="231F20"/>
        </w:rPr>
        <w:t>;</w:t>
      </w:r>
    </w:p>
    <w:p w14:paraId="13AB94D0" w14:textId="77777777" w:rsidR="00DD29A1" w:rsidRDefault="006C2CF1">
      <w:pPr>
        <w:spacing w:after="240" w:line="240" w:lineRule="exact"/>
        <w:rPr>
          <w:rFonts w:eastAsia="宋体" w:cs="Cambria"/>
          <w:color w:val="231F20"/>
        </w:rPr>
      </w:pPr>
      <w:r>
        <w:rPr>
          <w:rFonts w:eastAsia="宋体" w:cs="Cambria"/>
          <w:color w:val="231F20"/>
        </w:rPr>
        <w:t xml:space="preserve">A </w:t>
      </w:r>
      <w:r>
        <w:rPr>
          <w:rFonts w:eastAsia="宋体" w:cs="Cambria" w:hint="eastAsia"/>
          <w:color w:val="231F20"/>
          <w:lang w:val="en-US" w:eastAsia="zh-CN"/>
        </w:rPr>
        <w:t>总峰面积</w:t>
      </w:r>
      <w:r>
        <w:rPr>
          <w:rFonts w:eastAsia="宋体" w:cs="Cambria" w:hint="eastAsia"/>
          <w:color w:val="231F20"/>
        </w:rPr>
        <w:t>;</w:t>
      </w:r>
    </w:p>
    <w:p w14:paraId="3878A968" w14:textId="77777777" w:rsidR="00DD29A1" w:rsidRDefault="006C2CF1">
      <w:pPr>
        <w:spacing w:after="240" w:line="240" w:lineRule="exact"/>
        <w:rPr>
          <w:rFonts w:eastAsia="宋体" w:cs="Cambria"/>
          <w:color w:val="231F20"/>
          <w:lang w:val="en-US"/>
        </w:rPr>
      </w:pPr>
      <w:r>
        <w:rPr>
          <w:rFonts w:eastAsia="宋体" w:cs="Cambria"/>
          <w:i/>
          <w:iCs/>
          <w:color w:val="231F20"/>
        </w:rPr>
        <w:t>M</w:t>
      </w:r>
      <w:r>
        <w:rPr>
          <w:rFonts w:eastAsia="宋体" w:cs="Cambria"/>
          <w:i/>
          <w:iCs/>
          <w:color w:val="231F20"/>
          <w:vertAlign w:val="subscript"/>
        </w:rPr>
        <w:t>i</w:t>
      </w:r>
      <w:r>
        <w:rPr>
          <w:rFonts w:eastAsia="宋体" w:cs="Cambria"/>
          <w:color w:val="231F20"/>
        </w:rPr>
        <w:t xml:space="preserve"> </w:t>
      </w:r>
      <w:r>
        <w:rPr>
          <w:rFonts w:eastAsia="宋体" w:cs="Cambria"/>
          <w:color w:val="231F20"/>
        </w:rPr>
        <w:t>i</w:t>
      </w:r>
      <w:r>
        <w:rPr>
          <w:rFonts w:cs="Cambria" w:hint="eastAsia"/>
          <w:lang w:val="en-US" w:eastAsia="zh-CN"/>
        </w:rPr>
        <w:t>各不同碳链脂肪烷基二甲胺的平均相对分子质量，见表</w:t>
      </w:r>
      <w:r>
        <w:rPr>
          <w:rFonts w:cs="Cambria" w:hint="eastAsia"/>
          <w:lang w:val="en-US" w:eastAsia="zh-CN"/>
        </w:rPr>
        <w:t>1.</w:t>
      </w:r>
    </w:p>
    <w:p w14:paraId="0807DD51" w14:textId="77777777" w:rsidR="00DD29A1" w:rsidRDefault="006C2CF1">
      <w:pPr>
        <w:spacing w:after="240" w:line="240" w:lineRule="exact"/>
        <w:jc w:val="center"/>
        <w:rPr>
          <w:rFonts w:eastAsia="宋体" w:cs="Cambria"/>
          <w:color w:val="231F20"/>
        </w:rPr>
      </w:pPr>
      <w:r>
        <w:rPr>
          <w:rFonts w:eastAsia="宋体" w:cs="Cambria" w:hint="eastAsia"/>
          <w:b/>
          <w:bCs/>
          <w:color w:val="231F20"/>
          <w:lang w:val="en-US" w:eastAsia="zh-CN"/>
        </w:rPr>
        <w:t>表</w:t>
      </w:r>
      <w:r>
        <w:rPr>
          <w:rFonts w:eastAsia="宋体" w:cs="Cambria" w:hint="eastAsia"/>
          <w:b/>
          <w:bCs/>
          <w:color w:val="231F20"/>
          <w:lang w:val="en-US" w:eastAsia="zh-CN"/>
        </w:rPr>
        <w:t>1</w:t>
      </w:r>
      <w:r>
        <w:rPr>
          <w:rFonts w:eastAsia="宋体" w:cs="Cambria" w:hint="eastAsia"/>
          <w:b/>
          <w:bCs/>
          <w:color w:val="231F20"/>
        </w:rPr>
        <w:t xml:space="preserve"> </w:t>
      </w:r>
      <w:r>
        <w:rPr>
          <w:rFonts w:eastAsia="宋体" w:cs="Cambria"/>
          <w:b/>
          <w:bCs/>
          <w:color w:val="231F20"/>
        </w:rPr>
        <w:t xml:space="preserve">— </w:t>
      </w:r>
      <w:r>
        <w:rPr>
          <w:rFonts w:cs="Cambria" w:hint="eastAsia"/>
          <w:lang w:val="en-US" w:eastAsia="zh-CN"/>
        </w:rPr>
        <w:t>不同碳链脂肪烷基二甲胺的平均相对分子质量</w:t>
      </w:r>
    </w:p>
    <w:tbl>
      <w:tblPr>
        <w:tblStyle w:val="af5"/>
        <w:tblW w:w="0" w:type="auto"/>
        <w:jc w:val="center"/>
        <w:tblLook w:val="04A0" w:firstRow="1" w:lastRow="0" w:firstColumn="1" w:lastColumn="0" w:noHBand="0" w:noVBand="1"/>
      </w:tblPr>
      <w:tblGrid>
        <w:gridCol w:w="1777"/>
        <w:gridCol w:w="839"/>
        <w:gridCol w:w="839"/>
        <w:gridCol w:w="839"/>
        <w:gridCol w:w="839"/>
      </w:tblGrid>
      <w:tr w:rsidR="00DD29A1" w14:paraId="415A0DB1" w14:textId="77777777">
        <w:trPr>
          <w:trHeight w:val="590"/>
          <w:jc w:val="center"/>
        </w:trPr>
        <w:tc>
          <w:tcPr>
            <w:tcW w:w="1777" w:type="dxa"/>
            <w:vAlign w:val="center"/>
          </w:tcPr>
          <w:p w14:paraId="30C21A6F" w14:textId="77777777" w:rsidR="00DD29A1" w:rsidRDefault="006C2CF1">
            <w:pPr>
              <w:spacing w:line="240" w:lineRule="exact"/>
              <w:jc w:val="center"/>
              <w:rPr>
                <w:rFonts w:eastAsia="宋体" w:cs="Cambria"/>
                <w:color w:val="231F20"/>
                <w:sz w:val="20"/>
                <w:szCs w:val="20"/>
                <w:lang w:eastAsia="zh-CN"/>
              </w:rPr>
            </w:pPr>
            <w:r>
              <w:rPr>
                <w:rFonts w:eastAsia="宋体" w:cs="Cambria" w:hint="eastAsia"/>
                <w:color w:val="231F20"/>
                <w:sz w:val="20"/>
                <w:szCs w:val="20"/>
                <w:lang w:val="en-US" w:eastAsia="zh-CN"/>
              </w:rPr>
              <w:t>碳链</w:t>
            </w:r>
          </w:p>
        </w:tc>
        <w:tc>
          <w:tcPr>
            <w:tcW w:w="839" w:type="dxa"/>
            <w:vAlign w:val="center"/>
          </w:tcPr>
          <w:p w14:paraId="217CDC08"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C12</w:t>
            </w:r>
          </w:p>
        </w:tc>
        <w:tc>
          <w:tcPr>
            <w:tcW w:w="839" w:type="dxa"/>
            <w:vAlign w:val="center"/>
          </w:tcPr>
          <w:p w14:paraId="4E11F23A"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C14</w:t>
            </w:r>
          </w:p>
        </w:tc>
        <w:tc>
          <w:tcPr>
            <w:tcW w:w="839" w:type="dxa"/>
            <w:vAlign w:val="center"/>
          </w:tcPr>
          <w:p w14:paraId="21867450"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C16</w:t>
            </w:r>
          </w:p>
        </w:tc>
        <w:tc>
          <w:tcPr>
            <w:tcW w:w="839" w:type="dxa"/>
            <w:vAlign w:val="center"/>
          </w:tcPr>
          <w:p w14:paraId="3E28E15A"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C18</w:t>
            </w:r>
          </w:p>
        </w:tc>
      </w:tr>
      <w:tr w:rsidR="00DD29A1" w14:paraId="0F58C00B" w14:textId="77777777">
        <w:trPr>
          <w:trHeight w:val="590"/>
          <w:jc w:val="center"/>
        </w:trPr>
        <w:tc>
          <w:tcPr>
            <w:tcW w:w="1777" w:type="dxa"/>
            <w:vAlign w:val="center"/>
          </w:tcPr>
          <w:p w14:paraId="36CC0A88"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M</w:t>
            </w:r>
            <w:r>
              <w:rPr>
                <w:rFonts w:eastAsia="宋体" w:cs="Cambria"/>
                <w:i/>
                <w:iCs/>
                <w:color w:val="231F20"/>
                <w:sz w:val="20"/>
                <w:szCs w:val="20"/>
                <w:vertAlign w:val="subscript"/>
              </w:rPr>
              <w:t>i</w:t>
            </w:r>
          </w:p>
        </w:tc>
        <w:tc>
          <w:tcPr>
            <w:tcW w:w="839" w:type="dxa"/>
            <w:vAlign w:val="center"/>
          </w:tcPr>
          <w:p w14:paraId="4CBCC4F8"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213.4</w:t>
            </w:r>
          </w:p>
        </w:tc>
        <w:tc>
          <w:tcPr>
            <w:tcW w:w="839" w:type="dxa"/>
            <w:vAlign w:val="center"/>
          </w:tcPr>
          <w:p w14:paraId="00DD3577"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241.5</w:t>
            </w:r>
          </w:p>
        </w:tc>
        <w:tc>
          <w:tcPr>
            <w:tcW w:w="839" w:type="dxa"/>
            <w:vAlign w:val="center"/>
          </w:tcPr>
          <w:p w14:paraId="4158C1C4"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269.5</w:t>
            </w:r>
          </w:p>
        </w:tc>
        <w:tc>
          <w:tcPr>
            <w:tcW w:w="839" w:type="dxa"/>
            <w:vAlign w:val="center"/>
          </w:tcPr>
          <w:p w14:paraId="050E4424" w14:textId="77777777" w:rsidR="00DD29A1" w:rsidRDefault="006C2CF1">
            <w:pPr>
              <w:spacing w:line="240" w:lineRule="exact"/>
              <w:jc w:val="center"/>
              <w:rPr>
                <w:rFonts w:eastAsia="宋体" w:cs="Cambria"/>
                <w:color w:val="231F20"/>
                <w:sz w:val="20"/>
                <w:szCs w:val="20"/>
              </w:rPr>
            </w:pPr>
            <w:r>
              <w:rPr>
                <w:rFonts w:eastAsia="宋体" w:cs="Cambria"/>
                <w:color w:val="231F20"/>
                <w:sz w:val="20"/>
                <w:szCs w:val="20"/>
              </w:rPr>
              <w:t>297.6</w:t>
            </w:r>
          </w:p>
        </w:tc>
      </w:tr>
    </w:tbl>
    <w:p w14:paraId="5ACC2ADB" w14:textId="77777777" w:rsidR="00DD29A1" w:rsidRDefault="00DD29A1">
      <w:pPr>
        <w:spacing w:after="240" w:line="240" w:lineRule="exact"/>
        <w:rPr>
          <w:rFonts w:eastAsia="宋体" w:cs="Cambria"/>
          <w:color w:val="231F20"/>
        </w:rPr>
      </w:pPr>
    </w:p>
    <w:p w14:paraId="6594EAA0" w14:textId="77777777" w:rsidR="00DD29A1" w:rsidRDefault="006C2CF1">
      <w:pPr>
        <w:spacing w:after="240"/>
        <w:rPr>
          <w:rFonts w:cs="Cambria"/>
        </w:rPr>
      </w:pPr>
      <w:r>
        <w:rPr>
          <w:rFonts w:cs="Cambria" w:hint="eastAsia"/>
        </w:rPr>
        <w:t>脂肪烷基三甲基氯化铵</w:t>
      </w:r>
      <w:r>
        <w:rPr>
          <w:rFonts w:cs="Cambria" w:hint="eastAsia"/>
          <w:lang w:val="en-US" w:eastAsia="zh-CN"/>
        </w:rPr>
        <w:t>的平均相对分子质量按公式</w:t>
      </w:r>
      <w:r>
        <w:rPr>
          <w:rFonts w:cs="Cambria"/>
        </w:rPr>
        <w:t xml:space="preserve"> (2)</w:t>
      </w:r>
      <w:r>
        <w:rPr>
          <w:rFonts w:cs="Cambria" w:hint="eastAsia"/>
          <w:lang w:val="en-US" w:eastAsia="zh-CN"/>
        </w:rPr>
        <w:t>计算</w:t>
      </w:r>
      <w:r>
        <w:rPr>
          <w:rFonts w:cs="Cambria"/>
        </w:rPr>
        <w:t>:</w:t>
      </w:r>
    </w:p>
    <w:p w14:paraId="1CF9D884" w14:textId="77777777" w:rsidR="00DD29A1" w:rsidRDefault="006C2CF1">
      <w:pPr>
        <w:spacing w:after="240" w:line="240" w:lineRule="exact"/>
        <w:jc w:val="center"/>
        <w:rPr>
          <w:rFonts w:eastAsia="宋体" w:cs="Cambria"/>
          <w:color w:val="231F20"/>
        </w:rPr>
      </w:pPr>
      <w:r>
        <w:rPr>
          <w:rFonts w:eastAsia="楷体" w:cs="Cambria"/>
          <w:position w:val="-10"/>
        </w:rPr>
        <w:object w:dxaOrig="4140" w:dyaOrig="336" w14:anchorId="365D0E19">
          <v:shape id="_x0000_i1026" type="#_x0000_t75" style="width:207.15pt;height:16.85pt" o:ole="">
            <v:imagedata r:id="rId25" o:title=""/>
          </v:shape>
          <o:OLEObject Type="Embed" ProgID="Equation.KSEE3" ShapeID="_x0000_i1026" DrawAspect="Content" ObjectID="_1804397605" r:id="rId26"/>
        </w:object>
      </w:r>
      <w:r>
        <w:rPr>
          <w:rFonts w:eastAsia="楷体" w:cs="Cambria"/>
          <w:position w:val="-24"/>
        </w:rPr>
        <w:t xml:space="preserve">   </w:t>
      </w:r>
    </w:p>
    <w:p w14:paraId="37F3F202" w14:textId="77777777" w:rsidR="00DD29A1" w:rsidRDefault="006C2CF1">
      <w:pPr>
        <w:spacing w:after="240" w:line="240" w:lineRule="exact"/>
        <w:rPr>
          <w:rFonts w:eastAsia="宋体" w:cs="Cambria"/>
          <w:color w:val="231F20"/>
          <w:lang w:val="en-US" w:eastAsia="zh-CN"/>
        </w:rPr>
      </w:pPr>
      <w:r>
        <w:rPr>
          <w:rFonts w:eastAsia="宋体" w:cs="Cambria" w:hint="eastAsia"/>
          <w:color w:val="231F20"/>
          <w:lang w:val="en-US" w:eastAsia="zh-CN"/>
        </w:rPr>
        <w:t>式中</w:t>
      </w:r>
    </w:p>
    <w:p w14:paraId="2497F718" w14:textId="77777777" w:rsidR="00DD29A1" w:rsidRDefault="006C2CF1">
      <w:pPr>
        <w:spacing w:after="240" w:line="240" w:lineRule="exact"/>
        <w:rPr>
          <w:rFonts w:cs="Cambria"/>
          <w:color w:val="231F20"/>
          <w:lang w:eastAsia="zh-CN"/>
        </w:rPr>
      </w:pPr>
      <w:r>
        <w:rPr>
          <w:rFonts w:eastAsia="宋体" w:cs="Cambria"/>
          <w:i/>
          <w:iCs/>
          <w:color w:val="231F20"/>
        </w:rPr>
        <w:t>M</w:t>
      </w:r>
      <w:r>
        <w:rPr>
          <w:rFonts w:eastAsia="宋体" w:cs="Cambria"/>
          <w:i/>
          <w:iCs/>
          <w:color w:val="231F20"/>
          <w:vertAlign w:val="subscript"/>
        </w:rPr>
        <w:t>1</w:t>
      </w:r>
      <w:r>
        <w:rPr>
          <w:rFonts w:eastAsia="宋体" w:cs="Cambria"/>
          <w:color w:val="231F20"/>
        </w:rPr>
        <w:t xml:space="preserve"> </w:t>
      </w:r>
      <w:r>
        <w:rPr>
          <w:rFonts w:cs="Cambria" w:hint="eastAsia"/>
          <w:lang w:val="en-US" w:eastAsia="zh-CN"/>
        </w:rPr>
        <w:t>脂肪烷基二甲胺的平均相对分子质量</w:t>
      </w:r>
      <w:r>
        <w:rPr>
          <w:rFonts w:eastAsia="宋体" w:cs="Cambria" w:hint="eastAsia"/>
          <w:color w:val="231F20"/>
          <w:lang w:eastAsia="zh-CN"/>
        </w:rPr>
        <w:t>；</w:t>
      </w:r>
    </w:p>
    <w:p w14:paraId="74EF0851" w14:textId="77777777" w:rsidR="00DD29A1" w:rsidRDefault="006C2CF1">
      <w:pPr>
        <w:spacing w:after="240" w:line="240" w:lineRule="exact"/>
        <w:rPr>
          <w:rFonts w:eastAsia="宋体" w:cs="Cambria"/>
          <w:color w:val="231F20"/>
        </w:rPr>
      </w:pPr>
      <w:r>
        <w:rPr>
          <w:rFonts w:eastAsia="宋体" w:cs="Cambria"/>
          <w:color w:val="231F20"/>
        </w:rPr>
        <w:t xml:space="preserve">50.5 </w:t>
      </w:r>
      <w:r>
        <w:rPr>
          <w:rFonts w:eastAsia="宋体" w:cs="Cambria" w:hint="eastAsia"/>
          <w:color w:val="231F20"/>
          <w:lang w:val="en-US" w:eastAsia="zh-CN"/>
        </w:rPr>
        <w:t>氯甲烷</w:t>
      </w:r>
      <w:r>
        <w:rPr>
          <w:rFonts w:eastAsia="宋体" w:cs="Cambria"/>
          <w:color w:val="231F20"/>
        </w:rPr>
        <w:t xml:space="preserve"> (CH</w:t>
      </w:r>
      <w:r>
        <w:rPr>
          <w:rFonts w:eastAsia="宋体" w:cs="Cambria"/>
          <w:color w:val="231F20"/>
          <w:vertAlign w:val="subscript"/>
        </w:rPr>
        <w:t>3</w:t>
      </w:r>
      <w:r>
        <w:rPr>
          <w:rFonts w:eastAsia="宋体" w:cs="Cambria"/>
          <w:color w:val="231F20"/>
        </w:rPr>
        <w:t>Cl)</w:t>
      </w:r>
      <w:r>
        <w:rPr>
          <w:rFonts w:eastAsia="宋体" w:cs="Cambria" w:hint="eastAsia"/>
          <w:color w:val="231F20"/>
          <w:lang w:val="en-US" w:eastAsia="zh-CN"/>
        </w:rPr>
        <w:t>的</w:t>
      </w:r>
      <w:r>
        <w:rPr>
          <w:rFonts w:cs="Cambria" w:hint="eastAsia"/>
          <w:lang w:val="en-US" w:eastAsia="zh-CN"/>
        </w:rPr>
        <w:t>分子质量</w:t>
      </w:r>
      <w:r>
        <w:rPr>
          <w:rFonts w:cs="Cambria" w:hint="eastAsia"/>
          <w:lang w:val="en-US" w:eastAsia="zh-CN"/>
        </w:rPr>
        <w:t>。</w:t>
      </w:r>
    </w:p>
    <w:p w14:paraId="111EF8E6" w14:textId="77777777" w:rsidR="00DD29A1" w:rsidRDefault="006C2CF1">
      <w:pPr>
        <w:pStyle w:val="1"/>
        <w:rPr>
          <w:rFonts w:eastAsia="宋体" w:cs="Cambria"/>
          <w:color w:val="231F20"/>
          <w:lang w:eastAsia="en-US"/>
        </w:rPr>
      </w:pPr>
      <w:r>
        <w:rPr>
          <w:rFonts w:eastAsia="宋体" w:cs="Cambria" w:hint="eastAsia"/>
          <w:color w:val="231F20"/>
          <w:lang w:val="en-US" w:eastAsia="zh-CN"/>
        </w:rPr>
        <w:t>精密度</w:t>
      </w:r>
      <w:r>
        <w:rPr>
          <w:rFonts w:eastAsia="宋体" w:cs="Cambria"/>
          <w:color w:val="231F20"/>
          <w:lang w:eastAsia="en-US"/>
        </w:rPr>
        <w:t xml:space="preserve"> </w:t>
      </w:r>
    </w:p>
    <w:p w14:paraId="6C3F5190" w14:textId="77777777" w:rsidR="00DD29A1" w:rsidRDefault="006C2CF1">
      <w:pPr>
        <w:spacing w:after="240" w:line="240" w:lineRule="exact"/>
        <w:rPr>
          <w:rFonts w:cs="Cambria"/>
          <w:b/>
          <w:bCs/>
        </w:rPr>
      </w:pPr>
      <w:r>
        <w:rPr>
          <w:rFonts w:cs="Cambria"/>
          <w:b/>
          <w:bCs/>
        </w:rPr>
        <w:t>1</w:t>
      </w:r>
      <w:r>
        <w:rPr>
          <w:rFonts w:cs="Cambria" w:hint="eastAsia"/>
          <w:b/>
          <w:bCs/>
        </w:rPr>
        <w:t>1</w:t>
      </w:r>
      <w:r>
        <w:rPr>
          <w:rFonts w:cs="Cambria"/>
          <w:b/>
          <w:bCs/>
        </w:rPr>
        <w:t xml:space="preserve">.1 </w:t>
      </w:r>
      <w:r>
        <w:rPr>
          <w:rFonts w:ascii="Times New Roman" w:hAnsi="Times New Roman" w:hint="eastAsia"/>
          <w:b/>
          <w:bCs/>
          <w:lang w:val="en-US" w:eastAsia="zh-CN"/>
        </w:rPr>
        <w:t>重复性</w:t>
      </w:r>
      <w:r>
        <w:rPr>
          <w:rFonts w:ascii="Times New Roman" w:hAnsi="Times New Roman"/>
          <w:b/>
          <w:bCs/>
        </w:rPr>
        <w:t xml:space="preserve"> </w:t>
      </w:r>
    </w:p>
    <w:p w14:paraId="5429027D" w14:textId="77777777" w:rsidR="00DD29A1" w:rsidRDefault="006C2CF1">
      <w:pPr>
        <w:spacing w:after="240"/>
        <w:ind w:firstLineChars="200" w:firstLine="440"/>
        <w:rPr>
          <w:rFonts w:cs="Cambria"/>
          <w:lang w:val="en-US"/>
        </w:rPr>
      </w:pPr>
      <w:r>
        <w:t>置信度为</w:t>
      </w:r>
      <w:r>
        <w:t>95%</w:t>
      </w:r>
      <w:r>
        <w:t>，相同样品，同一操作者用同一仪器两次相继测定所得结果的</w:t>
      </w:r>
      <w:r>
        <w:rPr>
          <w:rFonts w:hint="eastAsia"/>
        </w:rPr>
        <w:t>绝对差值不大</w:t>
      </w:r>
      <w:r>
        <w:t>于</w:t>
      </w:r>
      <w:r>
        <w:rPr>
          <w:rFonts w:hint="eastAsia"/>
          <w:lang w:val="en-US" w:eastAsia="zh-CN"/>
        </w:rPr>
        <w:t>1</w:t>
      </w:r>
      <w:r>
        <w:rPr>
          <w:rFonts w:hint="eastAsia"/>
          <w:lang w:val="en-US" w:eastAsia="zh-CN"/>
        </w:rPr>
        <w:t>。</w:t>
      </w:r>
    </w:p>
    <w:p w14:paraId="445154F2" w14:textId="77777777" w:rsidR="00DD29A1" w:rsidRDefault="006C2CF1">
      <w:pPr>
        <w:spacing w:after="240" w:line="240" w:lineRule="exact"/>
        <w:rPr>
          <w:rFonts w:cs="Cambria"/>
          <w:b/>
          <w:bCs/>
        </w:rPr>
      </w:pPr>
      <w:r>
        <w:rPr>
          <w:rFonts w:cs="Cambria"/>
          <w:b/>
          <w:bCs/>
        </w:rPr>
        <w:t>1</w:t>
      </w:r>
      <w:r>
        <w:rPr>
          <w:rFonts w:cs="Cambria" w:hint="eastAsia"/>
          <w:b/>
          <w:bCs/>
        </w:rPr>
        <w:t>1</w:t>
      </w:r>
      <w:r>
        <w:rPr>
          <w:rFonts w:cs="Cambria"/>
          <w:b/>
          <w:bCs/>
        </w:rPr>
        <w:t xml:space="preserve">.2 </w:t>
      </w:r>
      <w:r>
        <w:rPr>
          <w:rFonts w:ascii="Times New Roman" w:hAnsi="Times New Roman" w:hint="eastAsia"/>
          <w:b/>
          <w:bCs/>
          <w:lang w:val="en-US" w:eastAsia="zh-CN"/>
        </w:rPr>
        <w:t>再现性</w:t>
      </w:r>
      <w:r>
        <w:rPr>
          <w:rFonts w:ascii="Times New Roman" w:hAnsi="Times New Roman"/>
          <w:b/>
          <w:bCs/>
        </w:rPr>
        <w:t xml:space="preserve"> </w:t>
      </w:r>
    </w:p>
    <w:p w14:paraId="7F349217" w14:textId="77777777" w:rsidR="00DD29A1" w:rsidRDefault="006C2CF1">
      <w:pPr>
        <w:spacing w:after="240"/>
        <w:ind w:firstLineChars="200" w:firstLine="440"/>
        <w:rPr>
          <w:rFonts w:cs="Cambria"/>
        </w:rPr>
      </w:pPr>
      <w:r>
        <w:rPr>
          <w:rFonts w:ascii="宋体" w:eastAsia="宋体" w:hAnsi="宋体" w:cs="宋体" w:hint="eastAsia"/>
        </w:rPr>
        <w:t>置信度为</w:t>
      </w:r>
      <w:r>
        <w:rPr>
          <w:rFonts w:ascii="宋体" w:eastAsia="宋体" w:hAnsi="宋体" w:cs="宋体" w:hint="eastAsia"/>
        </w:rPr>
        <w:t>95%</w:t>
      </w:r>
      <w:r>
        <w:rPr>
          <w:rFonts w:ascii="宋体" w:eastAsia="宋体" w:hAnsi="宋体" w:cs="宋体" w:hint="eastAsia"/>
        </w:rPr>
        <w:t>，同一样品，不同实验室间测定结果的绝对差值不大于</w:t>
      </w:r>
      <w:r>
        <w:rPr>
          <w:rFonts w:ascii="Times New Roman" w:eastAsia="宋体" w:hint="eastAsia"/>
          <w:lang w:val="en-US" w:eastAsia="zh-CN"/>
        </w:rPr>
        <w:t>2</w:t>
      </w:r>
      <w:r>
        <w:rPr>
          <w:rFonts w:ascii="Times New Roman" w:eastAsia="宋体" w:hint="eastAsia"/>
          <w:lang w:val="en-US" w:eastAsia="zh-CN"/>
        </w:rPr>
        <w:t>。</w:t>
      </w:r>
      <w:r>
        <w:rPr>
          <w:rFonts w:cs="Cambria"/>
        </w:rPr>
        <w:t>.</w:t>
      </w:r>
    </w:p>
    <w:p w14:paraId="1ED575D1" w14:textId="77777777" w:rsidR="00DD29A1" w:rsidRDefault="006C2CF1">
      <w:pPr>
        <w:pStyle w:val="1"/>
        <w:rPr>
          <w:rFonts w:eastAsia="宋体" w:cs="Cambria"/>
          <w:color w:val="231F20"/>
          <w:lang w:eastAsia="en-US"/>
        </w:rPr>
      </w:pPr>
      <w:r>
        <w:rPr>
          <w:rFonts w:eastAsia="宋体" w:cs="Cambria" w:hint="eastAsia"/>
          <w:color w:val="231F20"/>
          <w:lang w:val="en-US" w:eastAsia="zh-CN"/>
        </w:rPr>
        <w:t>试验报告</w:t>
      </w:r>
    </w:p>
    <w:p w14:paraId="7E159755" w14:textId="77777777" w:rsidR="00DD29A1" w:rsidRDefault="006C2CF1">
      <w:pPr>
        <w:spacing w:after="240"/>
        <w:rPr>
          <w:rFonts w:cs="Cambria"/>
        </w:rPr>
      </w:pPr>
      <w:r>
        <w:rPr>
          <w:rFonts w:cs="Cambria" w:hint="eastAsia"/>
        </w:rPr>
        <w:t>测试报告应包括以下信息：</w:t>
      </w:r>
    </w:p>
    <w:p w14:paraId="1D5B91DD" w14:textId="77777777" w:rsidR="00DD29A1" w:rsidRDefault="006C2CF1">
      <w:pPr>
        <w:spacing w:after="240"/>
        <w:rPr>
          <w:rFonts w:cs="Cambria"/>
        </w:rPr>
      </w:pPr>
      <w:r>
        <w:rPr>
          <w:rFonts w:cs="Cambria" w:hint="eastAsia"/>
        </w:rPr>
        <w:t>a</w:t>
      </w:r>
      <w:r>
        <w:rPr>
          <w:rFonts w:cs="Cambria" w:hint="eastAsia"/>
        </w:rPr>
        <w:t>）</w:t>
      </w:r>
      <w:r>
        <w:rPr>
          <w:rFonts w:cs="Cambria" w:hint="eastAsia"/>
        </w:rPr>
        <w:t xml:space="preserve"> </w:t>
      </w:r>
      <w:r>
        <w:rPr>
          <w:rFonts w:cs="Cambria" w:hint="eastAsia"/>
        </w:rPr>
        <w:t>完整识别样品所需的所有信息；</w:t>
      </w:r>
    </w:p>
    <w:p w14:paraId="5CF79A09" w14:textId="77777777" w:rsidR="00DD29A1" w:rsidRDefault="006C2CF1">
      <w:pPr>
        <w:spacing w:after="240"/>
        <w:rPr>
          <w:rFonts w:cs="Cambria"/>
        </w:rPr>
      </w:pPr>
      <w:r>
        <w:rPr>
          <w:rFonts w:cs="Cambria" w:hint="eastAsia"/>
        </w:rPr>
        <w:t>b</w:t>
      </w:r>
      <w:r>
        <w:rPr>
          <w:rFonts w:cs="Cambria" w:hint="eastAsia"/>
        </w:rPr>
        <w:t>）</w:t>
      </w:r>
      <w:r>
        <w:rPr>
          <w:rFonts w:cs="Cambria" w:hint="eastAsia"/>
        </w:rPr>
        <w:t xml:space="preserve"> </w:t>
      </w:r>
      <w:r>
        <w:rPr>
          <w:rFonts w:cs="Cambria" w:hint="eastAsia"/>
          <w:lang w:val="en-US" w:eastAsia="zh-CN"/>
        </w:rPr>
        <w:t>对</w:t>
      </w:r>
      <w:r>
        <w:rPr>
          <w:rFonts w:cs="Cambria" w:hint="eastAsia"/>
        </w:rPr>
        <w:t>本标准</w:t>
      </w:r>
      <w:r>
        <w:rPr>
          <w:rFonts w:cs="Cambria" w:hint="eastAsia"/>
          <w:lang w:val="en-US" w:eastAsia="zh-CN"/>
        </w:rPr>
        <w:t>的参考</w:t>
      </w:r>
      <w:r>
        <w:rPr>
          <w:rFonts w:cs="Cambria" w:hint="eastAsia"/>
        </w:rPr>
        <w:t>；</w:t>
      </w:r>
    </w:p>
    <w:p w14:paraId="21DD2170" w14:textId="77777777" w:rsidR="00DD29A1" w:rsidRDefault="006C2CF1">
      <w:pPr>
        <w:spacing w:after="240"/>
        <w:rPr>
          <w:rFonts w:cs="Cambria"/>
        </w:rPr>
      </w:pPr>
      <w:r>
        <w:rPr>
          <w:rFonts w:cs="Cambria" w:hint="eastAsia"/>
        </w:rPr>
        <w:t>c</w:t>
      </w:r>
      <w:r>
        <w:rPr>
          <w:rFonts w:cs="Cambria" w:hint="eastAsia"/>
        </w:rPr>
        <w:t>）</w:t>
      </w:r>
      <w:r>
        <w:rPr>
          <w:rFonts w:cs="Cambria" w:hint="eastAsia"/>
        </w:rPr>
        <w:t xml:space="preserve"> </w:t>
      </w:r>
      <w:r>
        <w:rPr>
          <w:rFonts w:cs="Cambria" w:hint="eastAsia"/>
        </w:rPr>
        <w:t>结果及其单位（见第</w:t>
      </w:r>
      <w:r>
        <w:rPr>
          <w:rFonts w:cs="Cambria" w:hint="eastAsia"/>
          <w:lang w:val="en-US" w:eastAsia="zh-CN"/>
        </w:rPr>
        <w:t>10</w:t>
      </w:r>
      <w:r>
        <w:rPr>
          <w:rFonts w:cs="Cambria" w:hint="eastAsia"/>
        </w:rPr>
        <w:t>条）；</w:t>
      </w:r>
    </w:p>
    <w:p w14:paraId="3B589B2E" w14:textId="77777777" w:rsidR="00DD29A1" w:rsidRDefault="006C2CF1">
      <w:pPr>
        <w:spacing w:after="240"/>
        <w:rPr>
          <w:rFonts w:cs="Cambria"/>
        </w:rPr>
      </w:pPr>
      <w:r>
        <w:rPr>
          <w:rFonts w:cs="Cambria" w:hint="eastAsia"/>
        </w:rPr>
        <w:t>d</w:t>
      </w:r>
      <w:r>
        <w:rPr>
          <w:rFonts w:cs="Cambria" w:hint="eastAsia"/>
        </w:rPr>
        <w:t>）</w:t>
      </w:r>
      <w:r>
        <w:rPr>
          <w:rFonts w:cs="Cambria" w:hint="eastAsia"/>
        </w:rPr>
        <w:t xml:space="preserve"> </w:t>
      </w:r>
      <w:r>
        <w:rPr>
          <w:rFonts w:cs="Cambria" w:hint="eastAsia"/>
        </w:rPr>
        <w:t>本标准或参考的国际标准中未规定的任何操作的详细信息，以及任何被视为可选的操作，以及可能影响结果的任何事件。</w:t>
      </w:r>
    </w:p>
    <w:p w14:paraId="51461737" w14:textId="77777777" w:rsidR="00DD29A1" w:rsidRDefault="006C2CF1">
      <w:pPr>
        <w:jc w:val="center"/>
        <w:rPr>
          <w:rFonts w:cs="Cambria"/>
        </w:rPr>
      </w:pPr>
      <w:r>
        <w:rPr>
          <w:rFonts w:cs="Cambria"/>
        </w:rPr>
        <w:br w:type="page"/>
      </w:r>
    </w:p>
    <w:p w14:paraId="08F57B37" w14:textId="77777777" w:rsidR="00DD29A1" w:rsidRDefault="006C2CF1">
      <w:pPr>
        <w:jc w:val="center"/>
        <w:rPr>
          <w:rFonts w:eastAsia="宋体" w:cs="Cambria"/>
          <w:color w:val="231F20"/>
        </w:rPr>
      </w:pPr>
      <w:r>
        <w:rPr>
          <w:rFonts w:cs="Cambria"/>
          <w:noProof/>
        </w:rPr>
        <w:drawing>
          <wp:inline distT="0" distB="0" distL="114300" distR="114300" wp14:anchorId="2AF293B9" wp14:editId="3719F45A">
            <wp:extent cx="3974465" cy="2849245"/>
            <wp:effectExtent l="0" t="0" r="698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3974465" cy="2849245"/>
                    </a:xfrm>
                    <a:prstGeom prst="rect">
                      <a:avLst/>
                    </a:prstGeom>
                    <a:noFill/>
                    <a:ln>
                      <a:noFill/>
                    </a:ln>
                  </pic:spPr>
                </pic:pic>
              </a:graphicData>
            </a:graphic>
          </wp:inline>
        </w:drawing>
      </w:r>
    </w:p>
    <w:p w14:paraId="4C84A57A" w14:textId="77777777" w:rsidR="00DD29A1" w:rsidRDefault="006C2CF1">
      <w:pPr>
        <w:jc w:val="center"/>
        <w:rPr>
          <w:rFonts w:eastAsia="宋体" w:cs="Cambria"/>
          <w:color w:val="231F20"/>
        </w:rPr>
      </w:pPr>
      <w:r>
        <w:rPr>
          <w:rFonts w:cs="Cambria"/>
          <w:noProof/>
        </w:rPr>
        <w:drawing>
          <wp:inline distT="0" distB="0" distL="114300" distR="114300" wp14:anchorId="79BFF9DB" wp14:editId="54E14C9B">
            <wp:extent cx="3908425" cy="2875915"/>
            <wp:effectExtent l="0" t="0" r="1587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8"/>
                    <a:stretch>
                      <a:fillRect/>
                    </a:stretch>
                  </pic:blipFill>
                  <pic:spPr>
                    <a:xfrm>
                      <a:off x="0" y="0"/>
                      <a:ext cx="3908425" cy="2875915"/>
                    </a:xfrm>
                    <a:prstGeom prst="rect">
                      <a:avLst/>
                    </a:prstGeom>
                    <a:noFill/>
                    <a:ln>
                      <a:noFill/>
                    </a:ln>
                  </pic:spPr>
                </pic:pic>
              </a:graphicData>
            </a:graphic>
          </wp:inline>
        </w:drawing>
      </w:r>
    </w:p>
    <w:p w14:paraId="17CD1184" w14:textId="77777777" w:rsidR="00DD29A1" w:rsidRDefault="00DD29A1">
      <w:pPr>
        <w:jc w:val="center"/>
        <w:rPr>
          <w:rFonts w:cs="Cambria"/>
        </w:rPr>
      </w:pPr>
    </w:p>
    <w:p w14:paraId="3125A06A" w14:textId="77777777" w:rsidR="00DD29A1" w:rsidRDefault="006C2CF1">
      <w:pPr>
        <w:jc w:val="center"/>
        <w:rPr>
          <w:rFonts w:eastAsia="宋体" w:cs="Cambria"/>
          <w:b/>
          <w:bCs/>
          <w:color w:val="231F20"/>
          <w:lang w:val="en-US" w:eastAsia="zh-CN"/>
        </w:rPr>
      </w:pPr>
      <w:r>
        <w:rPr>
          <w:rFonts w:eastAsia="宋体" w:cs="Cambria"/>
          <w:b/>
          <w:bCs/>
          <w:color w:val="231F20"/>
        </w:rPr>
        <w:t>Fig</w:t>
      </w:r>
      <w:r>
        <w:rPr>
          <w:rFonts w:eastAsia="宋体" w:cs="Cambria"/>
          <w:b/>
          <w:bCs/>
          <w:color w:val="231F20"/>
        </w:rPr>
        <w:t>er 1</w:t>
      </w:r>
      <w:r>
        <w:rPr>
          <w:rFonts w:eastAsia="宋体" w:cs="Cambria" w:hint="eastAsia"/>
          <w:b/>
          <w:bCs/>
          <w:color w:val="231F20"/>
        </w:rPr>
        <w:t xml:space="preserve"> </w:t>
      </w:r>
      <w:r>
        <w:rPr>
          <w:rFonts w:eastAsia="宋体" w:cs="Cambria"/>
          <w:b/>
          <w:bCs/>
          <w:color w:val="231F20"/>
        </w:rPr>
        <w:t xml:space="preserve">— </w:t>
      </w:r>
      <w:r>
        <w:rPr>
          <w:rFonts w:eastAsia="宋体" w:cs="Cambria" w:hint="eastAsia"/>
          <w:b/>
          <w:bCs/>
          <w:color w:val="231F20"/>
          <w:lang w:val="en-US" w:eastAsia="zh-CN"/>
        </w:rPr>
        <w:t>脂肪烷基二甲胺的气相色谱图</w:t>
      </w:r>
    </w:p>
    <w:p w14:paraId="0B87C379" w14:textId="77777777" w:rsidR="00DD29A1" w:rsidRDefault="006C2CF1">
      <w:pPr>
        <w:jc w:val="center"/>
        <w:rPr>
          <w:rFonts w:eastAsia="宋体" w:cs="Cambria"/>
          <w:b/>
          <w:bCs/>
          <w:color w:val="231F20"/>
        </w:rPr>
      </w:pPr>
      <w:r>
        <w:rPr>
          <w:rFonts w:eastAsia="宋体" w:cs="Cambria"/>
          <w:b/>
          <w:bCs/>
          <w:color w:val="231F20"/>
        </w:rPr>
        <w:t>( a.</w:t>
      </w:r>
      <w:r>
        <w:rPr>
          <w:rFonts w:eastAsia="宋体" w:cs="Cambria" w:hint="eastAsia"/>
          <w:b/>
          <w:bCs/>
          <w:color w:val="231F20"/>
          <w:lang w:val="en-US" w:eastAsia="zh-CN"/>
        </w:rPr>
        <w:t>填充柱</w:t>
      </w:r>
      <w:r>
        <w:rPr>
          <w:rFonts w:eastAsia="宋体" w:cs="Cambria"/>
          <w:b/>
          <w:bCs/>
          <w:color w:val="231F20"/>
        </w:rPr>
        <w:t>.</w:t>
      </w:r>
      <w:r>
        <w:rPr>
          <w:rFonts w:eastAsia="宋体" w:cs="Cambria"/>
          <w:b/>
          <w:bCs/>
          <w:color w:val="231F20"/>
        </w:rPr>
        <w:t xml:space="preserve"> b. </w:t>
      </w:r>
      <w:r>
        <w:rPr>
          <w:rFonts w:eastAsia="宋体" w:cs="Cambria" w:hint="eastAsia"/>
          <w:b/>
          <w:bCs/>
          <w:color w:val="231F20"/>
          <w:lang w:val="en-US" w:eastAsia="zh-CN"/>
        </w:rPr>
        <w:t>毛细管柱</w:t>
      </w:r>
      <w:r>
        <w:rPr>
          <w:rFonts w:eastAsia="宋体" w:cs="Cambria"/>
          <w:b/>
          <w:bCs/>
          <w:color w:val="231F20"/>
        </w:rPr>
        <w:t>)</w:t>
      </w:r>
    </w:p>
    <w:p w14:paraId="7262BEF0" w14:textId="77777777" w:rsidR="00DD29A1" w:rsidRDefault="00DD29A1">
      <w:pPr>
        <w:jc w:val="center"/>
        <w:rPr>
          <w:lang w:eastAsia="zh-CN"/>
        </w:rPr>
      </w:pPr>
    </w:p>
    <w:sectPr w:rsidR="00DD29A1">
      <w:footerReference w:type="even" r:id="rId29"/>
      <w:footerReference w:type="default" r:id="rId30"/>
      <w:type w:val="oddPage"/>
      <w:pgSz w:w="11906" w:h="16838"/>
      <w:pgMar w:top="794" w:right="737" w:bottom="284" w:left="851" w:header="709" w:footer="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9A22" w14:textId="77777777" w:rsidR="00DD29A1" w:rsidRDefault="006C2CF1">
      <w:pPr>
        <w:spacing w:line="240" w:lineRule="auto"/>
      </w:pPr>
      <w:r>
        <w:separator/>
      </w:r>
    </w:p>
  </w:endnote>
  <w:endnote w:type="continuationSeparator" w:id="0">
    <w:p w14:paraId="58365595" w14:textId="77777777" w:rsidR="00DD29A1" w:rsidRDefault="006C2C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23A9" w14:textId="77777777" w:rsidR="00DD29A1" w:rsidRDefault="006C2CF1">
    <w:pPr>
      <w:pStyle w:val="ae"/>
      <w:spacing w:before="240" w:line="240" w:lineRule="exact"/>
      <w:rPr>
        <w:sz w:val="20"/>
      </w:rPr>
    </w:pPr>
    <w:r>
      <w:rPr>
        <w:b/>
        <w:sz w:val="20"/>
      </w:rPr>
      <w:fldChar w:fldCharType="begin"/>
    </w:r>
    <w:r>
      <w:rPr>
        <w:b/>
        <w:sz w:val="20"/>
      </w:rPr>
      <w:instrText xml:space="preserve"> PAGE   \* MERGEFORMAT </w:instrText>
    </w:r>
    <w:r>
      <w:rPr>
        <w:b/>
        <w:sz w:val="20"/>
      </w:rPr>
      <w:fldChar w:fldCharType="separate"/>
    </w:r>
    <w:r>
      <w:rPr>
        <w:b/>
        <w:sz w:val="20"/>
      </w:rPr>
      <w:t>2</w:t>
    </w:r>
    <w:r>
      <w:rPr>
        <w:b/>
        <w:sz w:val="20"/>
      </w:rPr>
      <w:fldChar w:fldCharType="end"/>
    </w:r>
    <w:r>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8BD" w14:textId="77777777" w:rsidR="00DD29A1" w:rsidRDefault="006C2CF1">
    <w:pPr>
      <w:pStyle w:val="af0"/>
      <w:spacing w:before="360" w:after="480" w:line="240" w:lineRule="exact"/>
      <w:jc w:val="right"/>
      <w:rPr>
        <w:b w:val="0"/>
        <w:sz w:val="20"/>
        <w:szCs w:val="20"/>
      </w:rPr>
    </w:pPr>
    <w:r>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7AF3" w14:textId="77777777" w:rsidR="00DD29A1" w:rsidRDefault="006C2CF1">
    <w:pPr>
      <w:pStyle w:val="ae"/>
      <w:spacing w:after="480" w:line="240" w:lineRule="exact"/>
      <w:rPr>
        <w:sz w:val="20"/>
      </w:rPr>
    </w:pPr>
    <w:r>
      <w:fldChar w:fldCharType="begin"/>
    </w:r>
    <w:r>
      <w:instrText xml:space="preserve"> PAGE   \* MERGEFORMAT </w:instrText>
    </w:r>
    <w:r>
      <w:fldChar w:fldCharType="separate"/>
    </w:r>
    <w:r>
      <w:t>iv</w:t>
    </w:r>
    <w:r>
      <w:fldChar w:fldCharType="end"/>
    </w:r>
    <w:r>
      <w:rPr>
        <w:sz w:val="20"/>
      </w:rPr>
      <w:tab/>
    </w:r>
    <w:r>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BB16F" w14:textId="77777777" w:rsidR="00DD29A1" w:rsidRDefault="006C2CF1">
    <w:pPr>
      <w:pStyle w:val="ae"/>
      <w:spacing w:after="480" w:line="240" w:lineRule="atLeast"/>
      <w:rPr>
        <w:sz w:val="20"/>
      </w:rPr>
    </w:pPr>
    <w:r>
      <w:rPr>
        <w:sz w:val="18"/>
        <w:szCs w:val="18"/>
      </w:rPr>
      <w:t>© ISO #### – All rights reserved</w:t>
    </w:r>
    <w:r>
      <w:rPr>
        <w:sz w:val="20"/>
      </w:rPr>
      <w:tab/>
    </w:r>
    <w:r>
      <w:fldChar w:fldCharType="begin"/>
    </w:r>
    <w:r>
      <w:instrText xml:space="preserve"> PAGE   \* MERGEFORMAT </w:instrText>
    </w:r>
    <w:r>
      <w:fldChar w:fldCharType="separate"/>
    </w:r>
    <w:r>
      <w:t>v</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8139" w14:textId="77777777" w:rsidR="00DD29A1" w:rsidRDefault="006C2CF1">
    <w:pPr>
      <w:pStyle w:val="ae"/>
      <w:spacing w:after="480" w:line="240" w:lineRule="exact"/>
      <w:rPr>
        <w:sz w:val="20"/>
      </w:rPr>
    </w:pPr>
    <w:r>
      <w:rPr>
        <w:b/>
      </w:rPr>
      <w:fldChar w:fldCharType="begin"/>
    </w:r>
    <w:r>
      <w:rPr>
        <w:b/>
      </w:rPr>
      <w:instrText xml:space="preserve"> PAGE   \* MERGEFORMAT </w:instrText>
    </w:r>
    <w:r>
      <w:rPr>
        <w:b/>
      </w:rPr>
      <w:fldChar w:fldCharType="separate"/>
    </w:r>
    <w:r>
      <w:rPr>
        <w:b/>
      </w:rPr>
      <w:t>10</w:t>
    </w:r>
    <w:r>
      <w:rPr>
        <w:b/>
      </w:rPr>
      <w:fldChar w:fldCharType="end"/>
    </w:r>
    <w:r>
      <w:rPr>
        <w:sz w:val="20"/>
      </w:rPr>
      <w:tab/>
    </w:r>
    <w:r>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285A" w14:textId="77777777" w:rsidR="00DD29A1" w:rsidRDefault="006C2CF1">
    <w:pPr>
      <w:pStyle w:val="ae"/>
      <w:spacing w:after="480" w:line="240" w:lineRule="exact"/>
      <w:rPr>
        <w:sz w:val="20"/>
      </w:rPr>
    </w:pPr>
    <w:r>
      <w:rPr>
        <w:sz w:val="18"/>
        <w:szCs w:val="18"/>
      </w:rPr>
      <w:t>© ISO #### – All rights reserved</w:t>
    </w:r>
    <w:r>
      <w:rPr>
        <w:sz w:val="20"/>
      </w:rPr>
      <w:tab/>
    </w:r>
    <w:r>
      <w:rPr>
        <w:b/>
      </w:rPr>
      <w:fldChar w:fldCharType="begin"/>
    </w:r>
    <w:r>
      <w:rPr>
        <w:b/>
      </w:rPr>
      <w:instrText xml:space="preserve"> PAGE   \* MERGEFORMAT </w:instrText>
    </w:r>
    <w:r>
      <w:rPr>
        <w:b/>
      </w:rPr>
      <w:fldChar w:fldCharType="separate"/>
    </w:r>
    <w:r>
      <w:rPr>
        <w:b/>
      </w:rPr>
      <w:t>11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3651" w14:textId="77777777" w:rsidR="00DD29A1" w:rsidRDefault="006C2CF1">
      <w:pPr>
        <w:spacing w:after="0" w:line="240" w:lineRule="auto"/>
      </w:pPr>
      <w:r>
        <w:separator/>
      </w:r>
    </w:p>
  </w:footnote>
  <w:footnote w:type="continuationSeparator" w:id="0">
    <w:p w14:paraId="19E577F6" w14:textId="77777777" w:rsidR="00DD29A1" w:rsidRDefault="006C2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14EC" w14:textId="77777777" w:rsidR="00DD29A1" w:rsidRDefault="006C2CF1">
    <w:pPr>
      <w:pStyle w:val="af0"/>
      <w:spacing w:line="240" w:lineRule="exact"/>
      <w:jc w:val="left"/>
    </w:pPr>
    <w:r>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919A" w14:textId="77777777" w:rsidR="00DD29A1" w:rsidRDefault="006C2CF1">
    <w:pPr>
      <w:pStyle w:val="af0"/>
      <w:spacing w:after="720" w:line="240" w:lineRule="exact"/>
      <w:jc w:val="left"/>
      <w:rPr>
        <w:sz w:val="24"/>
        <w:szCs w:val="24"/>
      </w:rPr>
    </w:pPr>
    <w:r>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01C9" w14:textId="77777777" w:rsidR="00DD29A1" w:rsidRDefault="006C2CF1">
    <w:pPr>
      <w:pStyle w:val="af0"/>
      <w:spacing w:after="720" w:line="240" w:lineRule="exact"/>
      <w:jc w:val="right"/>
      <w:rPr>
        <w:sz w:val="24"/>
        <w:szCs w:val="24"/>
      </w:rPr>
    </w:pPr>
    <w:r>
      <w:rPr>
        <w:sz w:val="24"/>
        <w:szCs w:val="24"/>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55008"/>
    <w:multiLevelType w:val="multilevel"/>
    <w:tmpl w:val="08A55008"/>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left" w:pos="360"/>
        </w:tabs>
        <w:ind w:left="0" w:firstLine="0"/>
      </w:pPr>
      <w:rPr>
        <w:rFonts w:cs="Times New Roman" w:hint="default"/>
        <w:b/>
        <w:i w:val="0"/>
      </w:rPr>
    </w:lvl>
    <w:lvl w:ilvl="2">
      <w:start w:val="1"/>
      <w:numFmt w:val="decimal"/>
      <w:pStyle w:val="a3"/>
      <w:lvlText w:val="%1.%2.%3"/>
      <w:lvlJc w:val="left"/>
      <w:pPr>
        <w:tabs>
          <w:tab w:val="left" w:pos="720"/>
        </w:tabs>
        <w:ind w:left="0" w:firstLine="0"/>
      </w:pPr>
      <w:rPr>
        <w:rFonts w:cs="Times New Roman" w:hint="default"/>
        <w:b/>
        <w:i w:val="0"/>
      </w:rPr>
    </w:lvl>
    <w:lvl w:ilvl="3">
      <w:start w:val="1"/>
      <w:numFmt w:val="decimal"/>
      <w:pStyle w:val="a4"/>
      <w:lvlText w:val="%1.%2.%3.%4"/>
      <w:lvlJc w:val="left"/>
      <w:pPr>
        <w:tabs>
          <w:tab w:val="left" w:pos="1080"/>
        </w:tabs>
        <w:ind w:left="0" w:firstLine="0"/>
      </w:pPr>
      <w:rPr>
        <w:rFonts w:cs="Times New Roman" w:hint="default"/>
        <w:b/>
        <w:i w:val="0"/>
      </w:rPr>
    </w:lvl>
    <w:lvl w:ilvl="4">
      <w:start w:val="1"/>
      <w:numFmt w:val="decimal"/>
      <w:pStyle w:val="a5"/>
      <w:lvlText w:val="%1.%2.%3.%4.%5"/>
      <w:lvlJc w:val="left"/>
      <w:pPr>
        <w:tabs>
          <w:tab w:val="left" w:pos="1080"/>
        </w:tabs>
        <w:ind w:left="0" w:firstLine="0"/>
      </w:pPr>
      <w:rPr>
        <w:rFonts w:cs="Times New Roman" w:hint="default"/>
        <w:b/>
        <w:i w:val="0"/>
      </w:rPr>
    </w:lvl>
    <w:lvl w:ilvl="5">
      <w:start w:val="1"/>
      <w:numFmt w:val="decimal"/>
      <w:pStyle w:val="a6"/>
      <w:lvlText w:val="%1.%2.%3.%4.%5.%6"/>
      <w:lvlJc w:val="left"/>
      <w:pPr>
        <w:tabs>
          <w:tab w:val="left"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left" w:pos="6120"/>
        </w:tabs>
        <w:ind w:left="0" w:firstLine="0"/>
      </w:pPr>
      <w:rPr>
        <w:rFonts w:cs="Times New Roman" w:hint="default"/>
      </w:rPr>
    </w:lvl>
  </w:abstractNum>
  <w:abstractNum w:abstractNumId="1" w15:restartNumberingAfterBreak="0">
    <w:nsid w:val="2F2021D1"/>
    <w:multiLevelType w:val="multilevel"/>
    <w:tmpl w:val="2F2021D1"/>
    <w:lvl w:ilvl="0">
      <w:start w:val="1"/>
      <w:numFmt w:val="decimal"/>
      <w:pStyle w:val="AnnexTableTitle"/>
      <w:lvlText w:val="Table A.%1 —"/>
      <w:lvlJc w:val="center"/>
      <w:pPr>
        <w:tabs>
          <w:tab w:val="left" w:pos="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AC7EB8"/>
    <w:multiLevelType w:val="multilevel"/>
    <w:tmpl w:val="33AC7EB8"/>
    <w:lvl w:ilvl="0">
      <w:start w:val="1"/>
      <w:numFmt w:val="decimal"/>
      <w:pStyle w:val="1"/>
      <w:lvlText w:val="%1"/>
      <w:lvlJc w:val="left"/>
      <w:pPr>
        <w:tabs>
          <w:tab w:val="left" w:pos="432"/>
        </w:tabs>
        <w:ind w:left="432" w:hanging="432"/>
      </w:pPr>
      <w:rPr>
        <w:rFonts w:cs="Times New Roman"/>
        <w:b/>
        <w:i w:val="0"/>
      </w:rPr>
    </w:lvl>
    <w:lvl w:ilvl="1">
      <w:start w:val="1"/>
      <w:numFmt w:val="decimal"/>
      <w:pStyle w:val="2"/>
      <w:lvlText w:val="%1.%2"/>
      <w:lvlJc w:val="left"/>
      <w:pPr>
        <w:tabs>
          <w:tab w:val="left" w:pos="360"/>
        </w:tabs>
      </w:pPr>
      <w:rPr>
        <w:rFonts w:cs="Times New Roman"/>
        <w:b/>
        <w:i w:val="0"/>
      </w:rPr>
    </w:lvl>
    <w:lvl w:ilvl="2">
      <w:start w:val="1"/>
      <w:numFmt w:val="decimal"/>
      <w:pStyle w:val="3"/>
      <w:lvlText w:val="%1.%2.%3"/>
      <w:lvlJc w:val="left"/>
      <w:pPr>
        <w:tabs>
          <w:tab w:val="left" w:pos="720"/>
        </w:tabs>
      </w:pPr>
      <w:rPr>
        <w:rFonts w:cs="Times New Roman"/>
        <w:b/>
        <w:i w:val="0"/>
      </w:rPr>
    </w:lvl>
    <w:lvl w:ilvl="3">
      <w:start w:val="1"/>
      <w:numFmt w:val="decimal"/>
      <w:pStyle w:val="4"/>
      <w:lvlText w:val="%1.%2.%3.%4"/>
      <w:lvlJc w:val="left"/>
      <w:pPr>
        <w:tabs>
          <w:tab w:val="left" w:pos="1080"/>
        </w:tabs>
      </w:pPr>
      <w:rPr>
        <w:rFonts w:cs="Times New Roman"/>
        <w:b/>
        <w:i w:val="0"/>
      </w:rPr>
    </w:lvl>
    <w:lvl w:ilvl="4">
      <w:start w:val="1"/>
      <w:numFmt w:val="decimal"/>
      <w:pStyle w:val="5"/>
      <w:lvlText w:val="%1.%2.%3.%4.%5"/>
      <w:lvlJc w:val="left"/>
      <w:pPr>
        <w:tabs>
          <w:tab w:val="left" w:pos="1080"/>
        </w:tabs>
      </w:pPr>
      <w:rPr>
        <w:rFonts w:cs="Times New Roman"/>
        <w:b/>
        <w:i w:val="0"/>
      </w:rPr>
    </w:lvl>
    <w:lvl w:ilvl="5">
      <w:start w:val="1"/>
      <w:numFmt w:val="decimal"/>
      <w:pStyle w:val="6"/>
      <w:lvlText w:val="%1.%2.%3.%4.%5.%6"/>
      <w:lvlJc w:val="left"/>
      <w:pPr>
        <w:tabs>
          <w:tab w:val="left" w:pos="1440"/>
        </w:tabs>
      </w:pPr>
      <w:rPr>
        <w:rFonts w:cs="Times New Roman"/>
        <w:b/>
        <w:i w:val="0"/>
      </w:rPr>
    </w:lvl>
    <w:lvl w:ilvl="6">
      <w:start w:val="1"/>
      <w:numFmt w:val="decimal"/>
      <w:lvlText w:val="%1.%2.%3.%4.%5.%6.%7"/>
      <w:lvlJc w:val="left"/>
      <w:pPr>
        <w:tabs>
          <w:tab w:val="left" w:pos="1440"/>
        </w:tabs>
      </w:pPr>
      <w:rPr>
        <w:rFonts w:cs="Times New Roman"/>
      </w:rPr>
    </w:lvl>
    <w:lvl w:ilvl="7">
      <w:start w:val="1"/>
      <w:numFmt w:val="decimal"/>
      <w:lvlText w:val="%1.%2.%3.%4.%5.%6.%7.%8"/>
      <w:lvlJc w:val="left"/>
      <w:pPr>
        <w:tabs>
          <w:tab w:val="left" w:pos="1800"/>
        </w:tabs>
      </w:pPr>
      <w:rPr>
        <w:rFonts w:cs="Times New Roman"/>
      </w:rPr>
    </w:lvl>
    <w:lvl w:ilvl="8">
      <w:start w:val="1"/>
      <w:numFmt w:val="decimal"/>
      <w:lvlText w:val="%1.%2.%3.%4.%5.%6.%7.%8.%9"/>
      <w:lvlJc w:val="left"/>
      <w:pPr>
        <w:tabs>
          <w:tab w:val="left" w:pos="1800"/>
        </w:tabs>
      </w:pPr>
      <w:rPr>
        <w:rFonts w:cs="Times New Roman"/>
      </w:rPr>
    </w:lvl>
  </w:abstractNum>
  <w:abstractNum w:abstractNumId="3" w15:restartNumberingAfterBreak="0">
    <w:nsid w:val="3E48122E"/>
    <w:multiLevelType w:val="multilevel"/>
    <w:tmpl w:val="3E48122E"/>
    <w:lvl w:ilvl="0">
      <w:start w:val="1"/>
      <w:numFmt w:val="decimal"/>
      <w:pStyle w:val="AnnexFigureTitle"/>
      <w:lvlText w:val="Figure A.%1 —"/>
      <w:lvlJc w:val="left"/>
      <w:pPr>
        <w:tabs>
          <w:tab w:val="left" w:pos="113"/>
        </w:tabs>
        <w:ind w:left="340" w:hanging="227"/>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F72C3D"/>
    <w:multiLevelType w:val="multilevel"/>
    <w:tmpl w:val="43F72C3D"/>
    <w:lvl w:ilvl="0">
      <w:numFmt w:val="bullet"/>
      <w:pStyle w:val="a"/>
      <w:lvlText w:val="—"/>
      <w:lvlJc w:val="left"/>
      <w:pPr>
        <w:ind w:left="720" w:hanging="360"/>
      </w:pPr>
      <w:rPr>
        <w:rFonts w:ascii="Cambria" w:eastAsia="Calibri" w:hAnsi="Cambr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476042"/>
    <w:multiLevelType w:val="multilevel"/>
    <w:tmpl w:val="5F476042"/>
    <w:lvl w:ilvl="0">
      <w:start w:val="1"/>
      <w:numFmt w:val="decimal"/>
      <w:pStyle w:val="Tabletitle"/>
      <w:suff w:val="space"/>
      <w:lvlText w:val="Table %1 —"/>
      <w:lvlJc w:val="center"/>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C93298"/>
    <w:multiLevelType w:val="multilevel"/>
    <w:tmpl w:val="7EC93298"/>
    <w:lvl w:ilvl="0">
      <w:start w:val="1"/>
      <w:numFmt w:val="decimal"/>
      <w:pStyle w:val="FigureTitle"/>
      <w:suff w:val="space"/>
      <w:lvlText w:val="Figure %1 —"/>
      <w:lvlJc w:val="center"/>
      <w:pPr>
        <w:ind w:left="720" w:hanging="60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7238725">
    <w:abstractNumId w:val="2"/>
  </w:num>
  <w:num w:numId="2" w16cid:durableId="1815098734">
    <w:abstractNumId w:val="4"/>
  </w:num>
  <w:num w:numId="3" w16cid:durableId="1933201024">
    <w:abstractNumId w:val="0"/>
  </w:num>
  <w:num w:numId="4" w16cid:durableId="107626305">
    <w:abstractNumId w:val="6"/>
  </w:num>
  <w:num w:numId="5" w16cid:durableId="611278618">
    <w:abstractNumId w:val="3"/>
  </w:num>
  <w:num w:numId="6" w16cid:durableId="2125726578">
    <w:abstractNumId w:val="1"/>
  </w:num>
  <w:num w:numId="7" w16cid:durableId="1492714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243AC2"/>
    <w:rsid w:val="00011CAE"/>
    <w:rsid w:val="000243F7"/>
    <w:rsid w:val="0004257F"/>
    <w:rsid w:val="000518A1"/>
    <w:rsid w:val="00052262"/>
    <w:rsid w:val="00055455"/>
    <w:rsid w:val="00060093"/>
    <w:rsid w:val="00065F1A"/>
    <w:rsid w:val="000665FB"/>
    <w:rsid w:val="00072D10"/>
    <w:rsid w:val="00084E15"/>
    <w:rsid w:val="00096387"/>
    <w:rsid w:val="000C033F"/>
    <w:rsid w:val="000D278C"/>
    <w:rsid w:val="000F0E7A"/>
    <w:rsid w:val="001455AE"/>
    <w:rsid w:val="00147C95"/>
    <w:rsid w:val="00151B6D"/>
    <w:rsid w:val="0015226D"/>
    <w:rsid w:val="00153347"/>
    <w:rsid w:val="00162783"/>
    <w:rsid w:val="00164C26"/>
    <w:rsid w:val="001653C7"/>
    <w:rsid w:val="001736D1"/>
    <w:rsid w:val="001825F7"/>
    <w:rsid w:val="00184704"/>
    <w:rsid w:val="0018651E"/>
    <w:rsid w:val="00193CEF"/>
    <w:rsid w:val="001A0B0F"/>
    <w:rsid w:val="001A2B7D"/>
    <w:rsid w:val="001A33D0"/>
    <w:rsid w:val="001A6FE7"/>
    <w:rsid w:val="001B0F4C"/>
    <w:rsid w:val="001B2A4A"/>
    <w:rsid w:val="001B51CD"/>
    <w:rsid w:val="001C6575"/>
    <w:rsid w:val="001F7774"/>
    <w:rsid w:val="002260D1"/>
    <w:rsid w:val="002265CC"/>
    <w:rsid w:val="00243AC2"/>
    <w:rsid w:val="0025038A"/>
    <w:rsid w:val="00251871"/>
    <w:rsid w:val="0025688A"/>
    <w:rsid w:val="00264095"/>
    <w:rsid w:val="002812EB"/>
    <w:rsid w:val="002813DC"/>
    <w:rsid w:val="00286EF7"/>
    <w:rsid w:val="00294FB0"/>
    <w:rsid w:val="002C453D"/>
    <w:rsid w:val="002C4667"/>
    <w:rsid w:val="002E0796"/>
    <w:rsid w:val="002E756E"/>
    <w:rsid w:val="002E76BA"/>
    <w:rsid w:val="002F0F6D"/>
    <w:rsid w:val="00313518"/>
    <w:rsid w:val="00314414"/>
    <w:rsid w:val="003259B9"/>
    <w:rsid w:val="00333718"/>
    <w:rsid w:val="003621EE"/>
    <w:rsid w:val="00395E39"/>
    <w:rsid w:val="00396685"/>
    <w:rsid w:val="003B0A2B"/>
    <w:rsid w:val="003B153F"/>
    <w:rsid w:val="003C7B40"/>
    <w:rsid w:val="003E18DF"/>
    <w:rsid w:val="00400F60"/>
    <w:rsid w:val="00404DBD"/>
    <w:rsid w:val="00426C8C"/>
    <w:rsid w:val="004278B6"/>
    <w:rsid w:val="004417F0"/>
    <w:rsid w:val="004421EF"/>
    <w:rsid w:val="00481387"/>
    <w:rsid w:val="004838F7"/>
    <w:rsid w:val="00490CBC"/>
    <w:rsid w:val="00494DC9"/>
    <w:rsid w:val="004A26C8"/>
    <w:rsid w:val="004A325F"/>
    <w:rsid w:val="004A42E5"/>
    <w:rsid w:val="004A63D9"/>
    <w:rsid w:val="004B049A"/>
    <w:rsid w:val="004B09BE"/>
    <w:rsid w:val="004C241D"/>
    <w:rsid w:val="004C26AD"/>
    <w:rsid w:val="004D16C0"/>
    <w:rsid w:val="004D3DEB"/>
    <w:rsid w:val="004E6E8E"/>
    <w:rsid w:val="00501F28"/>
    <w:rsid w:val="00526284"/>
    <w:rsid w:val="0054733A"/>
    <w:rsid w:val="005473B7"/>
    <w:rsid w:val="0058190C"/>
    <w:rsid w:val="0058523F"/>
    <w:rsid w:val="00596E93"/>
    <w:rsid w:val="005B3EC6"/>
    <w:rsid w:val="005B40F7"/>
    <w:rsid w:val="005C3646"/>
    <w:rsid w:val="005C6E38"/>
    <w:rsid w:val="005D6017"/>
    <w:rsid w:val="005E3759"/>
    <w:rsid w:val="005F3066"/>
    <w:rsid w:val="00610D56"/>
    <w:rsid w:val="00612AB4"/>
    <w:rsid w:val="0062428B"/>
    <w:rsid w:val="00652F34"/>
    <w:rsid w:val="006659CA"/>
    <w:rsid w:val="00673172"/>
    <w:rsid w:val="00675DB0"/>
    <w:rsid w:val="0068101F"/>
    <w:rsid w:val="00692383"/>
    <w:rsid w:val="00695B8C"/>
    <w:rsid w:val="006B78ED"/>
    <w:rsid w:val="006C2CF1"/>
    <w:rsid w:val="006C48BF"/>
    <w:rsid w:val="006C614A"/>
    <w:rsid w:val="006D3D76"/>
    <w:rsid w:val="006E7EC0"/>
    <w:rsid w:val="00712E63"/>
    <w:rsid w:val="00721407"/>
    <w:rsid w:val="0073389D"/>
    <w:rsid w:val="00736962"/>
    <w:rsid w:val="00741DAF"/>
    <w:rsid w:val="00762AED"/>
    <w:rsid w:val="0076799C"/>
    <w:rsid w:val="007812F0"/>
    <w:rsid w:val="0079572D"/>
    <w:rsid w:val="007A2E12"/>
    <w:rsid w:val="007B5DAA"/>
    <w:rsid w:val="007C16D2"/>
    <w:rsid w:val="007C6648"/>
    <w:rsid w:val="007D76E3"/>
    <w:rsid w:val="007F3B91"/>
    <w:rsid w:val="007F7F35"/>
    <w:rsid w:val="00806C54"/>
    <w:rsid w:val="00862989"/>
    <w:rsid w:val="00864D32"/>
    <w:rsid w:val="008713ED"/>
    <w:rsid w:val="008814B2"/>
    <w:rsid w:val="008844CA"/>
    <w:rsid w:val="00885E28"/>
    <w:rsid w:val="00897961"/>
    <w:rsid w:val="008A6D64"/>
    <w:rsid w:val="008F2F5F"/>
    <w:rsid w:val="00914F45"/>
    <w:rsid w:val="00914FA0"/>
    <w:rsid w:val="00924E77"/>
    <w:rsid w:val="009460CE"/>
    <w:rsid w:val="009473C5"/>
    <w:rsid w:val="0096379F"/>
    <w:rsid w:val="0097303B"/>
    <w:rsid w:val="0097729C"/>
    <w:rsid w:val="00982C54"/>
    <w:rsid w:val="009A5C6C"/>
    <w:rsid w:val="009D3CFB"/>
    <w:rsid w:val="009E5745"/>
    <w:rsid w:val="009E7B5A"/>
    <w:rsid w:val="00A0672E"/>
    <w:rsid w:val="00A069DE"/>
    <w:rsid w:val="00A10C28"/>
    <w:rsid w:val="00A12B59"/>
    <w:rsid w:val="00A40A60"/>
    <w:rsid w:val="00A4141A"/>
    <w:rsid w:val="00A4494D"/>
    <w:rsid w:val="00A45AE0"/>
    <w:rsid w:val="00A50D78"/>
    <w:rsid w:val="00A604B8"/>
    <w:rsid w:val="00A676E2"/>
    <w:rsid w:val="00A752AD"/>
    <w:rsid w:val="00A77E5C"/>
    <w:rsid w:val="00A91DC1"/>
    <w:rsid w:val="00A949F1"/>
    <w:rsid w:val="00AD6264"/>
    <w:rsid w:val="00AE304A"/>
    <w:rsid w:val="00B16F7C"/>
    <w:rsid w:val="00B616BC"/>
    <w:rsid w:val="00B63944"/>
    <w:rsid w:val="00B74220"/>
    <w:rsid w:val="00B77025"/>
    <w:rsid w:val="00B80F08"/>
    <w:rsid w:val="00B83404"/>
    <w:rsid w:val="00B9118A"/>
    <w:rsid w:val="00BA1F97"/>
    <w:rsid w:val="00BA6E9D"/>
    <w:rsid w:val="00BC394B"/>
    <w:rsid w:val="00BE0AAC"/>
    <w:rsid w:val="00BE5F1A"/>
    <w:rsid w:val="00BF1FA0"/>
    <w:rsid w:val="00BF7921"/>
    <w:rsid w:val="00C01D6B"/>
    <w:rsid w:val="00C02C7F"/>
    <w:rsid w:val="00C24574"/>
    <w:rsid w:val="00C33932"/>
    <w:rsid w:val="00C37D99"/>
    <w:rsid w:val="00C43555"/>
    <w:rsid w:val="00C4462E"/>
    <w:rsid w:val="00C507FB"/>
    <w:rsid w:val="00C618F1"/>
    <w:rsid w:val="00C67DB3"/>
    <w:rsid w:val="00C800D6"/>
    <w:rsid w:val="00C80DEE"/>
    <w:rsid w:val="00C83357"/>
    <w:rsid w:val="00C845B4"/>
    <w:rsid w:val="00C878AB"/>
    <w:rsid w:val="00C968B1"/>
    <w:rsid w:val="00CA0F77"/>
    <w:rsid w:val="00CB117B"/>
    <w:rsid w:val="00CB5EBE"/>
    <w:rsid w:val="00CC1B8F"/>
    <w:rsid w:val="00CD0D5E"/>
    <w:rsid w:val="00CF0C94"/>
    <w:rsid w:val="00D11327"/>
    <w:rsid w:val="00D16C86"/>
    <w:rsid w:val="00D21A10"/>
    <w:rsid w:val="00D33289"/>
    <w:rsid w:val="00D819A2"/>
    <w:rsid w:val="00DB4BFC"/>
    <w:rsid w:val="00DB6BB6"/>
    <w:rsid w:val="00DD1BA4"/>
    <w:rsid w:val="00DD29A1"/>
    <w:rsid w:val="00DD6D39"/>
    <w:rsid w:val="00DE4393"/>
    <w:rsid w:val="00DF0D99"/>
    <w:rsid w:val="00DF121D"/>
    <w:rsid w:val="00DF582D"/>
    <w:rsid w:val="00DF5C1C"/>
    <w:rsid w:val="00DF6AAF"/>
    <w:rsid w:val="00E014A1"/>
    <w:rsid w:val="00E34F0F"/>
    <w:rsid w:val="00E37175"/>
    <w:rsid w:val="00E45DE1"/>
    <w:rsid w:val="00E6679A"/>
    <w:rsid w:val="00E66E01"/>
    <w:rsid w:val="00E771D2"/>
    <w:rsid w:val="00EA7BD6"/>
    <w:rsid w:val="00EB5B98"/>
    <w:rsid w:val="00EB5FF5"/>
    <w:rsid w:val="00ED0975"/>
    <w:rsid w:val="00ED5FAB"/>
    <w:rsid w:val="00F10068"/>
    <w:rsid w:val="00F22D9D"/>
    <w:rsid w:val="00F42FEA"/>
    <w:rsid w:val="00F44352"/>
    <w:rsid w:val="00F746A8"/>
    <w:rsid w:val="00F77E4F"/>
    <w:rsid w:val="00F81286"/>
    <w:rsid w:val="00F81ACE"/>
    <w:rsid w:val="00F828CA"/>
    <w:rsid w:val="00F85048"/>
    <w:rsid w:val="00F85FBC"/>
    <w:rsid w:val="00F952B9"/>
    <w:rsid w:val="00FA4078"/>
    <w:rsid w:val="00FA5917"/>
    <w:rsid w:val="00FC1FDA"/>
    <w:rsid w:val="00FF2548"/>
    <w:rsid w:val="00FF5441"/>
    <w:rsid w:val="202039A9"/>
    <w:rsid w:val="229C57C9"/>
    <w:rsid w:val="35B069A7"/>
    <w:rsid w:val="447662FC"/>
    <w:rsid w:val="45E3017E"/>
    <w:rsid w:val="56D0597B"/>
    <w:rsid w:val="622D4D58"/>
    <w:rsid w:val="70136EED"/>
    <w:rsid w:val="719B344F"/>
    <w:rsid w:val="73EC173C"/>
    <w:rsid w:val="74BE3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D2C76"/>
  <w15:docId w15:val="{2F6BD5C2-8FAE-4F30-95B5-A836753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semiHidden="1"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pPr>
      <w:tabs>
        <w:tab w:val="left" w:pos="403"/>
      </w:tabs>
      <w:spacing w:after="120" w:line="240" w:lineRule="atLeast"/>
      <w:jc w:val="both"/>
    </w:pPr>
    <w:rPr>
      <w:rFonts w:ascii="Cambria" w:eastAsiaTheme="minorEastAsia" w:hAnsi="Cambria"/>
      <w:sz w:val="22"/>
      <w:szCs w:val="22"/>
      <w:lang w:val="en-GB" w:eastAsia="en-US"/>
    </w:rPr>
  </w:style>
  <w:style w:type="paragraph" w:styleId="1">
    <w:name w:val="heading 1"/>
    <w:basedOn w:val="a0"/>
    <w:next w:val="a0"/>
    <w:link w:val="10"/>
    <w:uiPriority w:val="1"/>
    <w:qFormat/>
    <w:pPr>
      <w:keepNext/>
      <w:numPr>
        <w:numId w:val="1"/>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2">
    <w:name w:val="heading 2"/>
    <w:basedOn w:val="1"/>
    <w:next w:val="a0"/>
    <w:link w:val="20"/>
    <w:uiPriority w:val="2"/>
    <w:qFormat/>
    <w:pPr>
      <w:numPr>
        <w:ilvl w:val="1"/>
      </w:numPr>
      <w:tabs>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pPr>
      <w:numPr>
        <w:ilvl w:val="3"/>
      </w:numPr>
      <w:tabs>
        <w:tab w:val="clear" w:pos="880"/>
        <w:tab w:val="left" w:pos="1021"/>
        <w:tab w:val="left" w:pos="1140"/>
        <w:tab w:val="left" w:pos="1360"/>
      </w:tabs>
      <w:outlineLvl w:val="3"/>
    </w:pPr>
  </w:style>
  <w:style w:type="paragraph" w:styleId="5">
    <w:name w:val="heading 5"/>
    <w:basedOn w:val="4"/>
    <w:next w:val="a0"/>
    <w:link w:val="50"/>
    <w:uiPriority w:val="5"/>
    <w:qFormat/>
    <w:pPr>
      <w:numPr>
        <w:ilvl w:val="4"/>
      </w:numPr>
      <w:tabs>
        <w:tab w:val="clear" w:pos="1140"/>
        <w:tab w:val="clear" w:pos="1360"/>
      </w:tabs>
      <w:outlineLvl w:val="4"/>
    </w:pPr>
  </w:style>
  <w:style w:type="paragraph" w:styleId="6">
    <w:name w:val="heading 6"/>
    <w:basedOn w:val="5"/>
    <w:next w:val="a0"/>
    <w:link w:val="60"/>
    <w:uiPriority w:val="6"/>
    <w:qFormat/>
    <w:pPr>
      <w:numPr>
        <w:ilvl w:val="5"/>
      </w:numPr>
      <w:outlineLvl w:val="5"/>
    </w:p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caption"/>
    <w:basedOn w:val="a0"/>
    <w:next w:val="a0"/>
    <w:uiPriority w:val="35"/>
    <w:unhideWhenUsed/>
    <w:qFormat/>
    <w:pPr>
      <w:spacing w:after="200" w:line="240" w:lineRule="auto"/>
    </w:pPr>
    <w:rPr>
      <w:i/>
      <w:iCs/>
      <w:color w:val="44546A" w:themeColor="text2"/>
      <w:sz w:val="18"/>
      <w:szCs w:val="18"/>
    </w:rPr>
  </w:style>
  <w:style w:type="paragraph" w:styleId="aa">
    <w:name w:val="Body Text"/>
    <w:basedOn w:val="a0"/>
    <w:link w:val="ab"/>
    <w:qFormat/>
  </w:style>
  <w:style w:type="paragraph" w:styleId="TOC3">
    <w:name w:val="toc 3"/>
    <w:basedOn w:val="TOC2"/>
    <w:next w:val="a0"/>
    <w:uiPriority w:val="39"/>
    <w:qFormat/>
  </w:style>
  <w:style w:type="paragraph" w:styleId="TOC2">
    <w:name w:val="toc 2"/>
    <w:basedOn w:val="TOC1"/>
    <w:next w:val="a0"/>
    <w:uiPriority w:val="39"/>
    <w:qFormat/>
    <w:pPr>
      <w:spacing w:before="0"/>
    </w:pPr>
  </w:style>
  <w:style w:type="paragraph" w:styleId="TOC1">
    <w:name w:val="toc 1"/>
    <w:basedOn w:val="a0"/>
    <w:next w:val="a0"/>
    <w:uiPriority w:val="39"/>
    <w:qFormat/>
    <w:pPr>
      <w:tabs>
        <w:tab w:val="left" w:pos="720"/>
        <w:tab w:val="right" w:leader="dot" w:pos="9752"/>
      </w:tabs>
      <w:suppressAutoHyphens/>
      <w:spacing w:before="120" w:after="0"/>
      <w:ind w:left="720" w:right="500" w:hanging="720"/>
      <w:jc w:val="left"/>
    </w:pPr>
    <w:rPr>
      <w:b/>
    </w:rPr>
  </w:style>
  <w:style w:type="paragraph" w:styleId="ac">
    <w:name w:val="Balloon Text"/>
    <w:basedOn w:val="a0"/>
    <w:link w:val="ad"/>
    <w:uiPriority w:val="99"/>
    <w:semiHidden/>
    <w:unhideWhenUsed/>
    <w:qFormat/>
    <w:pPr>
      <w:spacing w:after="0" w:line="240" w:lineRule="auto"/>
    </w:pPr>
    <w:rPr>
      <w:rFonts w:ascii="Segoe UI" w:hAnsi="Segoe UI" w:cs="Segoe UI"/>
      <w:sz w:val="18"/>
      <w:szCs w:val="18"/>
    </w:rPr>
  </w:style>
  <w:style w:type="paragraph" w:styleId="ae">
    <w:name w:val="footer"/>
    <w:basedOn w:val="a0"/>
    <w:link w:val="af"/>
    <w:uiPriority w:val="99"/>
    <w:semiHidden/>
    <w:qFormat/>
    <w:pPr>
      <w:tabs>
        <w:tab w:val="clear" w:pos="403"/>
        <w:tab w:val="right" w:pos="9752"/>
      </w:tabs>
      <w:spacing w:before="360" w:line="220" w:lineRule="exact"/>
    </w:pPr>
  </w:style>
  <w:style w:type="paragraph" w:styleId="af0">
    <w:name w:val="header"/>
    <w:basedOn w:val="a0"/>
    <w:link w:val="af1"/>
    <w:uiPriority w:val="99"/>
    <w:semiHidden/>
    <w:qFormat/>
    <w:pPr>
      <w:spacing w:after="600" w:line="220" w:lineRule="exact"/>
    </w:pPr>
    <w:rPr>
      <w:b/>
    </w:rPr>
  </w:style>
  <w:style w:type="paragraph" w:styleId="a">
    <w:name w:val="List"/>
    <w:basedOn w:val="af2"/>
    <w:uiPriority w:val="4"/>
    <w:qFormat/>
    <w:pPr>
      <w:keepNext/>
      <w:numPr>
        <w:numId w:val="2"/>
      </w:numPr>
      <w:ind w:left="425" w:hanging="425"/>
    </w:pPr>
  </w:style>
  <w:style w:type="paragraph" w:styleId="af2">
    <w:name w:val="List Paragraph"/>
    <w:basedOn w:val="a0"/>
    <w:link w:val="af3"/>
    <w:uiPriority w:val="34"/>
    <w:qFormat/>
    <w:pPr>
      <w:ind w:left="720"/>
      <w:contextualSpacing/>
    </w:pPr>
  </w:style>
  <w:style w:type="paragraph" w:styleId="af4">
    <w:name w:val="Normal (Web)"/>
    <w:basedOn w:val="a0"/>
    <w:uiPriority w:val="99"/>
    <w:semiHidden/>
    <w:unhideWhenUsed/>
    <w:qFormat/>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table" w:styleId="af5">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FollowedHyperlink"/>
    <w:basedOn w:val="a1"/>
    <w:uiPriority w:val="99"/>
    <w:semiHidden/>
    <w:unhideWhenUsed/>
    <w:qFormat/>
    <w:rPr>
      <w:color w:val="954F72" w:themeColor="followedHyperlink"/>
      <w:u w:val="single"/>
    </w:rPr>
  </w:style>
  <w:style w:type="character" w:styleId="af8">
    <w:name w:val="Hyperlink"/>
    <w:uiPriority w:val="99"/>
    <w:qFormat/>
    <w:rPr>
      <w:color w:val="0000FF"/>
      <w:u w:val="single"/>
      <w:lang w:val="fr-FR"/>
    </w:rPr>
  </w:style>
  <w:style w:type="character" w:customStyle="1" w:styleId="10">
    <w:name w:val="标题 1 字符"/>
    <w:link w:val="1"/>
    <w:uiPriority w:val="1"/>
    <w:qFormat/>
    <w:rPr>
      <w:rFonts w:eastAsia="MS Mincho"/>
      <w:b/>
      <w:sz w:val="26"/>
      <w:szCs w:val="22"/>
      <w:lang w:val="en-GB" w:eastAsia="ja-JP"/>
    </w:rPr>
  </w:style>
  <w:style w:type="character" w:customStyle="1" w:styleId="20">
    <w:name w:val="标题 2 字符"/>
    <w:link w:val="2"/>
    <w:uiPriority w:val="2"/>
    <w:qFormat/>
    <w:rPr>
      <w:rFonts w:eastAsia="MS Mincho"/>
      <w:b/>
      <w:sz w:val="24"/>
      <w:szCs w:val="22"/>
      <w:lang w:val="en-GB" w:eastAsia="ja-JP"/>
    </w:rPr>
  </w:style>
  <w:style w:type="character" w:customStyle="1" w:styleId="30">
    <w:name w:val="标题 3 字符"/>
    <w:link w:val="3"/>
    <w:uiPriority w:val="3"/>
    <w:qFormat/>
    <w:rPr>
      <w:rFonts w:eastAsia="MS Mincho"/>
      <w:b/>
      <w:sz w:val="22"/>
      <w:szCs w:val="22"/>
      <w:lang w:val="en-GB" w:eastAsia="ja-JP"/>
    </w:rPr>
  </w:style>
  <w:style w:type="character" w:customStyle="1" w:styleId="40">
    <w:name w:val="标题 4 字符"/>
    <w:link w:val="4"/>
    <w:uiPriority w:val="4"/>
    <w:qFormat/>
    <w:rPr>
      <w:rFonts w:eastAsia="MS Mincho"/>
      <w:b/>
      <w:sz w:val="22"/>
      <w:szCs w:val="22"/>
      <w:lang w:val="en-GB" w:eastAsia="ja-JP"/>
    </w:rPr>
  </w:style>
  <w:style w:type="character" w:customStyle="1" w:styleId="50">
    <w:name w:val="标题 5 字符"/>
    <w:link w:val="5"/>
    <w:uiPriority w:val="5"/>
    <w:qFormat/>
    <w:rPr>
      <w:rFonts w:eastAsia="MS Mincho"/>
      <w:b/>
      <w:sz w:val="22"/>
      <w:szCs w:val="22"/>
      <w:lang w:val="en-GB" w:eastAsia="ja-JP"/>
    </w:rPr>
  </w:style>
  <w:style w:type="character" w:customStyle="1" w:styleId="60">
    <w:name w:val="标题 6 字符"/>
    <w:link w:val="6"/>
    <w:uiPriority w:val="6"/>
    <w:qFormat/>
    <w:rPr>
      <w:rFonts w:eastAsia="MS Mincho"/>
      <w:b/>
      <w:sz w:val="22"/>
      <w:szCs w:val="22"/>
      <w:lang w:val="en-GB" w:eastAsia="ja-JP"/>
    </w:rPr>
  </w:style>
  <w:style w:type="paragraph" w:customStyle="1" w:styleId="a2">
    <w:name w:val="a2"/>
    <w:basedOn w:val="a0"/>
    <w:next w:val="a0"/>
    <w:uiPriority w:val="11"/>
    <w:qFormat/>
    <w:pPr>
      <w:keepNext/>
      <w:numPr>
        <w:ilvl w:val="1"/>
        <w:numId w:val="3"/>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qFormat/>
    <w:pPr>
      <w:keepNext/>
      <w:numPr>
        <w:ilvl w:val="2"/>
        <w:numId w:val="3"/>
      </w:numPr>
      <w:spacing w:before="60" w:line="250" w:lineRule="atLeast"/>
      <w:jc w:val="left"/>
      <w:outlineLvl w:val="0"/>
    </w:pPr>
    <w:rPr>
      <w:rFonts w:eastAsia="MS Mincho"/>
      <w:b/>
      <w:sz w:val="24"/>
      <w:lang w:eastAsia="ja-JP"/>
    </w:rPr>
  </w:style>
  <w:style w:type="paragraph" w:customStyle="1" w:styleId="a4">
    <w:name w:val="a4"/>
    <w:basedOn w:val="a0"/>
    <w:next w:val="a0"/>
    <w:uiPriority w:val="13"/>
    <w:qFormat/>
    <w:pPr>
      <w:keepNext/>
      <w:numPr>
        <w:ilvl w:val="3"/>
        <w:numId w:val="3"/>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qFormat/>
    <w:pPr>
      <w:keepNext/>
      <w:numPr>
        <w:ilvl w:val="4"/>
        <w:numId w:val="3"/>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qFormat/>
    <w:pPr>
      <w:keepNext/>
      <w:numPr>
        <w:ilvl w:val="5"/>
        <w:numId w:val="3"/>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qFormat/>
    <w:pPr>
      <w:keepNext/>
      <w:pageBreakBefore/>
      <w:numPr>
        <w:numId w:val="3"/>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qFormat/>
    <w:pPr>
      <w:spacing w:after="310" w:line="310" w:lineRule="atLeast"/>
      <w:jc w:val="center"/>
      <w:outlineLvl w:val="0"/>
    </w:pPr>
    <w:rPr>
      <w:b/>
      <w:sz w:val="28"/>
    </w:rPr>
  </w:style>
  <w:style w:type="paragraph" w:customStyle="1" w:styleId="Definition">
    <w:name w:val="Definition"/>
    <w:basedOn w:val="a0"/>
    <w:link w:val="DefinitionChar"/>
    <w:uiPriority w:val="9"/>
    <w:qFormat/>
  </w:style>
  <w:style w:type="paragraph" w:customStyle="1" w:styleId="ForewordTitle">
    <w:name w:val="Foreword Title"/>
    <w:basedOn w:val="a0"/>
    <w:semiHidden/>
    <w:qFormat/>
    <w:pPr>
      <w:keepNext/>
      <w:pageBreakBefore/>
      <w:suppressAutoHyphens/>
      <w:spacing w:after="310" w:line="310" w:lineRule="atLeast"/>
      <w:outlineLvl w:val="0"/>
    </w:pPr>
    <w:rPr>
      <w:b/>
      <w:sz w:val="28"/>
    </w:rPr>
  </w:style>
  <w:style w:type="paragraph" w:customStyle="1" w:styleId="IntroTitle">
    <w:name w:val="Intro Title"/>
    <w:basedOn w:val="ForewordTitle"/>
    <w:semiHidden/>
    <w:qFormat/>
    <w:pPr>
      <w:pageBreakBefore w:val="0"/>
    </w:pPr>
  </w:style>
  <w:style w:type="paragraph" w:customStyle="1" w:styleId="Terms">
    <w:name w:val="Term(s)"/>
    <w:basedOn w:val="a0"/>
    <w:next w:val="Definition"/>
    <w:uiPriority w:val="8"/>
    <w:qFormat/>
    <w:pPr>
      <w:keepNext/>
      <w:suppressAutoHyphens/>
      <w:spacing w:after="0"/>
      <w:jc w:val="left"/>
    </w:pPr>
    <w:rPr>
      <w:b/>
    </w:rPr>
  </w:style>
  <w:style w:type="paragraph" w:customStyle="1" w:styleId="TermNum">
    <w:name w:val="TermNum"/>
    <w:basedOn w:val="a0"/>
    <w:next w:val="Terms"/>
    <w:uiPriority w:val="7"/>
    <w:qFormat/>
    <w:pPr>
      <w:keepNext/>
      <w:spacing w:after="0"/>
      <w:jc w:val="left"/>
    </w:pPr>
    <w:rPr>
      <w:b/>
    </w:rPr>
  </w:style>
  <w:style w:type="paragraph" w:customStyle="1" w:styleId="zzContents">
    <w:name w:val="zzContents"/>
    <w:basedOn w:val="a0"/>
    <w:next w:val="TOC1"/>
    <w:semiHidden/>
    <w:qFormat/>
    <w:pPr>
      <w:keepNext/>
      <w:pageBreakBefore/>
      <w:suppressAutoHyphens/>
      <w:spacing w:before="960" w:after="310" w:line="310" w:lineRule="exact"/>
      <w:jc w:val="left"/>
    </w:pPr>
    <w:rPr>
      <w:b/>
      <w:sz w:val="28"/>
    </w:rPr>
  </w:style>
  <w:style w:type="paragraph" w:customStyle="1" w:styleId="zzCopyright">
    <w:name w:val="zzCopyright"/>
    <w:basedOn w:val="a0"/>
    <w:next w:val="a0"/>
    <w:semiHidden/>
    <w:qFormat/>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qFormat/>
    <w:pPr>
      <w:suppressAutoHyphens/>
      <w:spacing w:before="400" w:after="760" w:line="350" w:lineRule="exact"/>
      <w:jc w:val="left"/>
    </w:pPr>
    <w:rPr>
      <w:b/>
      <w:color w:val="0000FF"/>
      <w:sz w:val="32"/>
    </w:rPr>
  </w:style>
  <w:style w:type="character" w:customStyle="1" w:styleId="af">
    <w:name w:val="页脚 字符"/>
    <w:link w:val="ae"/>
    <w:uiPriority w:val="99"/>
    <w:semiHidden/>
    <w:qFormat/>
    <w:rPr>
      <w:sz w:val="22"/>
      <w:szCs w:val="22"/>
      <w:lang w:val="en-GB"/>
    </w:rPr>
  </w:style>
  <w:style w:type="character" w:customStyle="1" w:styleId="af1">
    <w:name w:val="页眉 字符"/>
    <w:link w:val="af0"/>
    <w:uiPriority w:val="99"/>
    <w:semiHidden/>
    <w:qFormat/>
    <w:rPr>
      <w:b/>
      <w:sz w:val="22"/>
      <w:szCs w:val="22"/>
      <w:lang w:val="en-GB"/>
    </w:rPr>
  </w:style>
  <w:style w:type="paragraph" w:customStyle="1" w:styleId="Code">
    <w:name w:val="Code"/>
    <w:basedOn w:val="a0"/>
    <w:uiPriority w:val="16"/>
    <w:qFormat/>
    <w:pPr>
      <w:spacing w:after="0" w:line="200" w:lineRule="atLeast"/>
      <w:jc w:val="left"/>
    </w:pPr>
    <w:rPr>
      <w:rFonts w:ascii="Courier New" w:hAnsi="Courier New"/>
      <w:sz w:val="18"/>
    </w:rPr>
  </w:style>
  <w:style w:type="paragraph" w:customStyle="1" w:styleId="Formula">
    <w:name w:val="Formula"/>
    <w:basedOn w:val="a0"/>
    <w:semiHidden/>
    <w:qFormat/>
    <w:pPr>
      <w:tabs>
        <w:tab w:val="clear" w:pos="403"/>
        <w:tab w:val="right" w:pos="9749"/>
      </w:tabs>
      <w:spacing w:after="220"/>
      <w:ind w:left="403"/>
      <w:jc w:val="left"/>
    </w:pPr>
    <w:rPr>
      <w:rFonts w:eastAsia="Times New Roman"/>
    </w:rPr>
  </w:style>
  <w:style w:type="paragraph" w:customStyle="1" w:styleId="Tablebody">
    <w:name w:val="Table body"/>
    <w:basedOn w:val="a0"/>
    <w:qFormat/>
    <w:pPr>
      <w:spacing w:before="60" w:after="60"/>
      <w:jc w:val="center"/>
    </w:pPr>
    <w:rPr>
      <w:sz w:val="20"/>
    </w:rPr>
  </w:style>
  <w:style w:type="character" w:styleId="af9">
    <w:name w:val="Placeholder Text"/>
    <w:basedOn w:val="a1"/>
    <w:uiPriority w:val="99"/>
    <w:semiHidden/>
    <w:qFormat/>
    <w:rPr>
      <w:color w:val="808080"/>
    </w:rPr>
  </w:style>
  <w:style w:type="paragraph" w:customStyle="1" w:styleId="ForewordText">
    <w:name w:val="Foreword Text"/>
    <w:basedOn w:val="a0"/>
    <w:link w:val="ForewordTextChar"/>
    <w:qFormat/>
    <w:pPr>
      <w:tabs>
        <w:tab w:val="clear" w:pos="403"/>
      </w:tabs>
    </w:pPr>
    <w:rPr>
      <w:lang w:val="fr-FR"/>
    </w:rPr>
  </w:style>
  <w:style w:type="character" w:customStyle="1" w:styleId="ForewordTextChar">
    <w:name w:val="Foreword Text Char"/>
    <w:link w:val="ForewordText"/>
    <w:qFormat/>
    <w:locked/>
    <w:rPr>
      <w:sz w:val="22"/>
      <w:szCs w:val="22"/>
      <w:lang w:val="fr-FR"/>
    </w:rPr>
  </w:style>
  <w:style w:type="character" w:customStyle="1" w:styleId="ad">
    <w:name w:val="批注框文本 字符"/>
    <w:basedOn w:val="a1"/>
    <w:link w:val="ac"/>
    <w:uiPriority w:val="99"/>
    <w:semiHidden/>
    <w:qFormat/>
    <w:rPr>
      <w:rFonts w:ascii="Segoe UI" w:hAnsi="Segoe UI" w:cs="Segoe UI"/>
      <w:sz w:val="18"/>
      <w:szCs w:val="18"/>
      <w:lang w:val="en-GB"/>
    </w:rPr>
  </w:style>
  <w:style w:type="paragraph" w:customStyle="1" w:styleId="Source">
    <w:name w:val="Source"/>
    <w:basedOn w:val="Definition"/>
    <w:link w:val="SourceChar"/>
    <w:qFormat/>
  </w:style>
  <w:style w:type="character" w:customStyle="1" w:styleId="DefinitionChar">
    <w:name w:val="Definition Char"/>
    <w:basedOn w:val="a1"/>
    <w:link w:val="Definition"/>
    <w:uiPriority w:val="9"/>
    <w:qFormat/>
    <w:rPr>
      <w:sz w:val="22"/>
      <w:szCs w:val="22"/>
      <w:lang w:val="en-GB"/>
    </w:rPr>
  </w:style>
  <w:style w:type="character" w:customStyle="1" w:styleId="SourceChar">
    <w:name w:val="Source Char"/>
    <w:basedOn w:val="DefinitionChar"/>
    <w:link w:val="Source"/>
    <w:qFormat/>
    <w:rPr>
      <w:sz w:val="22"/>
      <w:szCs w:val="22"/>
      <w:lang w:val="en-GB"/>
    </w:rPr>
  </w:style>
  <w:style w:type="paragraph" w:customStyle="1" w:styleId="Example">
    <w:name w:val="Example"/>
    <w:basedOn w:val="a0"/>
    <w:link w:val="ExampleChar"/>
    <w:qFormat/>
    <w:rPr>
      <w:sz w:val="20"/>
      <w:szCs w:val="20"/>
    </w:rPr>
  </w:style>
  <w:style w:type="paragraph" w:customStyle="1" w:styleId="Note">
    <w:name w:val="Note"/>
    <w:basedOn w:val="a0"/>
    <w:link w:val="NoteChar"/>
    <w:qFormat/>
    <w:pPr>
      <w:spacing w:after="240"/>
    </w:pPr>
    <w:rPr>
      <w:sz w:val="20"/>
      <w:szCs w:val="20"/>
    </w:rPr>
  </w:style>
  <w:style w:type="character" w:customStyle="1" w:styleId="ExampleChar">
    <w:name w:val="Example Char"/>
    <w:basedOn w:val="a1"/>
    <w:link w:val="Example"/>
    <w:qFormat/>
    <w:rPr>
      <w:lang w:val="en-GB"/>
    </w:rPr>
  </w:style>
  <w:style w:type="paragraph" w:customStyle="1" w:styleId="FigureTitle">
    <w:name w:val="Figure Title"/>
    <w:basedOn w:val="af2"/>
    <w:link w:val="FigureTitleChar"/>
    <w:qFormat/>
    <w:pPr>
      <w:numPr>
        <w:numId w:val="4"/>
      </w:numPr>
      <w:jc w:val="center"/>
    </w:pPr>
    <w:rPr>
      <w:b/>
      <w:bCs/>
    </w:rPr>
  </w:style>
  <w:style w:type="character" w:customStyle="1" w:styleId="NoteChar">
    <w:name w:val="Note Char"/>
    <w:basedOn w:val="a1"/>
    <w:link w:val="Note"/>
    <w:qFormat/>
    <w:rPr>
      <w:lang w:val="en-GB"/>
    </w:rPr>
  </w:style>
  <w:style w:type="paragraph" w:customStyle="1" w:styleId="AnnexFigureTitle">
    <w:name w:val="Annex Figure Title"/>
    <w:basedOn w:val="a0"/>
    <w:link w:val="AnnexFigureTitleChar"/>
    <w:qFormat/>
    <w:pPr>
      <w:numPr>
        <w:numId w:val="5"/>
      </w:numPr>
      <w:jc w:val="center"/>
    </w:pPr>
    <w:rPr>
      <w:b/>
      <w:bCs/>
    </w:rPr>
  </w:style>
  <w:style w:type="paragraph" w:customStyle="1" w:styleId="AnnexTableTitle">
    <w:name w:val="Annex Table Title"/>
    <w:basedOn w:val="af2"/>
    <w:link w:val="AnnexTableTitleChar"/>
    <w:qFormat/>
    <w:pPr>
      <w:keepNext/>
      <w:pageBreakBefore/>
      <w:numPr>
        <w:numId w:val="6"/>
      </w:numPr>
      <w:jc w:val="center"/>
    </w:pPr>
    <w:rPr>
      <w:b/>
    </w:rPr>
  </w:style>
  <w:style w:type="character" w:customStyle="1" w:styleId="af3">
    <w:name w:val="列表段落 字符"/>
    <w:basedOn w:val="a1"/>
    <w:link w:val="af2"/>
    <w:uiPriority w:val="34"/>
    <w:qFormat/>
    <w:rPr>
      <w:sz w:val="22"/>
      <w:szCs w:val="22"/>
      <w:lang w:val="en-GB"/>
    </w:rPr>
  </w:style>
  <w:style w:type="character" w:customStyle="1" w:styleId="AnnexTableTitleChar">
    <w:name w:val="Annex Table Title Char"/>
    <w:basedOn w:val="af3"/>
    <w:link w:val="AnnexTableTitle"/>
    <w:qFormat/>
    <w:rPr>
      <w:b/>
      <w:sz w:val="22"/>
      <w:szCs w:val="22"/>
      <w:lang w:val="en-GB"/>
    </w:rPr>
  </w:style>
  <w:style w:type="paragraph" w:customStyle="1" w:styleId="Tabletitle">
    <w:name w:val="Table title"/>
    <w:basedOn w:val="af2"/>
    <w:link w:val="TabletitleChar"/>
    <w:qFormat/>
    <w:pPr>
      <w:numPr>
        <w:numId w:val="7"/>
      </w:numPr>
      <w:jc w:val="center"/>
    </w:pPr>
    <w:rPr>
      <w:b/>
      <w:bCs/>
      <w:lang w:val="fr-CH"/>
    </w:rPr>
  </w:style>
  <w:style w:type="character" w:customStyle="1" w:styleId="FigureTitleChar">
    <w:name w:val="Figure Title Char"/>
    <w:basedOn w:val="af3"/>
    <w:link w:val="FigureTitle"/>
    <w:qFormat/>
    <w:rPr>
      <w:b/>
      <w:bCs/>
      <w:sz w:val="22"/>
      <w:szCs w:val="22"/>
      <w:lang w:val="en-GB"/>
    </w:rPr>
  </w:style>
  <w:style w:type="character" w:customStyle="1" w:styleId="TabletitleChar">
    <w:name w:val="Table title Char"/>
    <w:basedOn w:val="af3"/>
    <w:link w:val="Tabletitle"/>
    <w:qFormat/>
    <w:rPr>
      <w:b/>
      <w:bCs/>
      <w:sz w:val="22"/>
      <w:szCs w:val="22"/>
      <w:lang w:val="fr-CH"/>
    </w:rPr>
  </w:style>
  <w:style w:type="character" w:customStyle="1" w:styleId="AnnexFigureTitleChar">
    <w:name w:val="Annex Figure Title Char"/>
    <w:basedOn w:val="a1"/>
    <w:link w:val="AnnexFigureTitle"/>
    <w:qFormat/>
    <w:rPr>
      <w:b/>
      <w:bCs/>
      <w:sz w:val="22"/>
      <w:szCs w:val="22"/>
      <w:lang w:val="en-GB"/>
    </w:rPr>
  </w:style>
  <w:style w:type="character" w:customStyle="1" w:styleId="ab">
    <w:name w:val="正文文本 字符"/>
    <w:basedOn w:val="a1"/>
    <w:link w:val="aa"/>
    <w:qFormat/>
    <w:rPr>
      <w:sz w:val="22"/>
      <w:szCs w:val="22"/>
      <w:lang w:val="en-GB"/>
    </w:rPr>
  </w:style>
  <w:style w:type="character" w:customStyle="1" w:styleId="11">
    <w:name w:val="未处理的提及1"/>
    <w:basedOn w:val="a1"/>
    <w:uiPriority w:val="99"/>
    <w:semiHidden/>
    <w:unhideWhenUsed/>
    <w:qFormat/>
    <w:rPr>
      <w:color w:val="605E5C"/>
      <w:shd w:val="clear" w:color="auto" w:fill="E1DFDD"/>
    </w:rPr>
  </w:style>
  <w:style w:type="character" w:customStyle="1" w:styleId="fontstyle01">
    <w:name w:val="fontstyle01"/>
    <w:basedOn w:val="a1"/>
    <w:qFormat/>
    <w:rPr>
      <w:rFonts w:ascii="Cambria" w:hAnsi="Cambria" w:hint="default"/>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iso/model_document-rice_model.pdf"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image" Target="media/image1.wmf"/><Relationship Id="rId28"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image" Target="media/image3.png"/><Relationship Id="rId3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esktop\Simp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7" ma:contentTypeDescription="Create a new document." ma:contentTypeScope="" ma:versionID="ab9aa970edd3251eb9b3e76781cc5fdd">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c2192fa759b930bd7a29691bfbc65285"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C37BF-D55F-4FD1-B4E3-06D126027B7A}">
  <ds:schemaRefs/>
</ds:datastoreItem>
</file>

<file path=customXml/itemProps2.xml><?xml version="1.0" encoding="utf-8"?>
<ds:datastoreItem xmlns:ds="http://schemas.openxmlformats.org/officeDocument/2006/customXml" ds:itemID="{CAA83CC2-FCAD-463F-ACDA-2F7AC6A95F9A}">
  <ds:schemaRefs/>
</ds:datastoreItem>
</file>

<file path=customXml/itemProps3.xml><?xml version="1.0" encoding="utf-8"?>
<ds:datastoreItem xmlns:ds="http://schemas.openxmlformats.org/officeDocument/2006/customXml" ds:itemID="{5F4DD16B-FDFF-4335-844D-764AAC57FF17}">
  <ds:schemaRefs/>
</ds:datastoreItem>
</file>

<file path=customXml/itemProps4.xml><?xml version="1.0" encoding="utf-8"?>
<ds:datastoreItem xmlns:ds="http://schemas.openxmlformats.org/officeDocument/2006/customXml" ds:itemID="{4E5454A3-A042-458A-BD1F-C5A1BADC7B6F}">
  <ds:schemaRefs/>
</ds:datastoreItem>
</file>

<file path=docProps/app.xml><?xml version="1.0" encoding="utf-8"?>
<Properties xmlns="http://schemas.openxmlformats.org/officeDocument/2006/extended-properties" xmlns:vt="http://schemas.openxmlformats.org/officeDocument/2006/docPropsVTypes">
  <Template>Simple template.dotx</Template>
  <TotalTime>1</TotalTime>
  <Pages>11</Pages>
  <Words>1111</Words>
  <Characters>6333</Characters>
  <Application>Microsoft Office Word</Application>
  <DocSecurity>0</DocSecurity>
  <Lines>52</Lines>
  <Paragraphs>14</Paragraphs>
  <ScaleCrop>false</ScaleCrop>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ycy</dc:creator>
  <cp:lastModifiedBy>姚晨之</cp:lastModifiedBy>
  <cp:revision>2</cp:revision>
  <dcterms:created xsi:type="dcterms:W3CDTF">2025-03-25T00:47:00Z</dcterms:created>
  <dcterms:modified xsi:type="dcterms:W3CDTF">2025-03-25T00:47:00Z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KSOProductBuildVer">
    <vt:lpwstr>2052-12.1.0.18276</vt:lpwstr>
  </property>
  <property fmtid="{D5CDD505-2E9C-101B-9397-08002B2CF9AE}" pid="4" name="ICV">
    <vt:lpwstr>23298A37AAC040F8BAA0AB756E420E36_13</vt:lpwstr>
  </property>
</Properties>
</file>